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4133" w14:textId="77777777" w:rsidR="00377909" w:rsidRDefault="00AE2055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B0FADBD" wp14:editId="33890833">
            <wp:simplePos x="0" y="0"/>
            <wp:positionH relativeFrom="column">
              <wp:posOffset>3529965</wp:posOffset>
            </wp:positionH>
            <wp:positionV relativeFrom="paragraph">
              <wp:posOffset>-137795</wp:posOffset>
            </wp:positionV>
            <wp:extent cx="1833245" cy="372110"/>
            <wp:effectExtent l="0" t="0" r="0" b="889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0C4C85" wp14:editId="11E04271">
            <wp:simplePos x="0" y="0"/>
            <wp:positionH relativeFrom="page">
              <wp:posOffset>971550</wp:posOffset>
            </wp:positionH>
            <wp:positionV relativeFrom="page">
              <wp:posOffset>628650</wp:posOffset>
            </wp:positionV>
            <wp:extent cx="3209925" cy="65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SBOA_REITORIA_horizontal_POSITIVO_CMY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1213" w14:textId="77777777" w:rsidR="00FA7DC3" w:rsidRDefault="00FA7DC3"/>
    <w:p w14:paraId="1E8A46DC" w14:textId="77777777" w:rsidR="00AE2055" w:rsidRDefault="00AE2055"/>
    <w:p w14:paraId="39CD253D" w14:textId="77777777" w:rsidR="00803769" w:rsidRPr="00803769" w:rsidRDefault="00803769" w:rsidP="00803769">
      <w:pPr>
        <w:jc w:val="center"/>
        <w:rPr>
          <w:b/>
        </w:rPr>
      </w:pPr>
      <w:r w:rsidRPr="00803769">
        <w:rPr>
          <w:b/>
        </w:rPr>
        <w:t>Programa Erasmus+</w:t>
      </w:r>
    </w:p>
    <w:p w14:paraId="0E1A5B4C" w14:textId="77777777" w:rsidR="00803769" w:rsidRPr="00803769" w:rsidRDefault="00803769" w:rsidP="00803769">
      <w:pPr>
        <w:jc w:val="center"/>
        <w:rPr>
          <w:b/>
        </w:rPr>
      </w:pPr>
      <w:r w:rsidRPr="00803769">
        <w:rPr>
          <w:b/>
        </w:rPr>
        <w:t>Ação-Chave1 – Mobilidade de Estudantes e Pessoal do Ensino Superior</w:t>
      </w:r>
    </w:p>
    <w:p w14:paraId="242D26B0" w14:textId="77777777" w:rsidR="00803769" w:rsidRDefault="00803769" w:rsidP="00803769">
      <w:pPr>
        <w:jc w:val="center"/>
      </w:pPr>
    </w:p>
    <w:p w14:paraId="7331EAA0" w14:textId="77777777" w:rsidR="00803769" w:rsidRPr="00564BCE" w:rsidRDefault="00803769" w:rsidP="00803769">
      <w:pPr>
        <w:jc w:val="center"/>
        <w:rPr>
          <w:b/>
        </w:rPr>
      </w:pPr>
      <w:r w:rsidRPr="00564BCE">
        <w:rPr>
          <w:b/>
        </w:rPr>
        <w:t>Mobilidade de Pessoal para Formação (STT)</w:t>
      </w:r>
    </w:p>
    <w:p w14:paraId="5D030145" w14:textId="77777777" w:rsidR="00803769" w:rsidRPr="00564BCE" w:rsidRDefault="00803769" w:rsidP="00803769">
      <w:pPr>
        <w:jc w:val="center"/>
        <w:rPr>
          <w:b/>
        </w:rPr>
      </w:pPr>
    </w:p>
    <w:p w14:paraId="5754ABBA" w14:textId="77777777" w:rsidR="00803769" w:rsidRPr="00564BCE" w:rsidRDefault="00803769" w:rsidP="00803769">
      <w:pPr>
        <w:jc w:val="center"/>
        <w:rPr>
          <w:b/>
        </w:rPr>
      </w:pPr>
      <w:r w:rsidRPr="00564BCE">
        <w:rPr>
          <w:b/>
        </w:rPr>
        <w:t>Procedimentos de candidatura e seleção</w:t>
      </w:r>
    </w:p>
    <w:p w14:paraId="664CDB7B" w14:textId="77777777" w:rsidR="00AE2055" w:rsidRDefault="00AE2055"/>
    <w:p w14:paraId="2D8CE084" w14:textId="77777777" w:rsidR="00386EBE" w:rsidRDefault="00386EBE" w:rsidP="00FA7DC3"/>
    <w:p w14:paraId="108DF1D6" w14:textId="77777777" w:rsidR="000D16A1" w:rsidRPr="000D16A1" w:rsidRDefault="000D16A1" w:rsidP="001D19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2"/>
          <w:szCs w:val="22"/>
        </w:rPr>
      </w:pPr>
      <w:r w:rsidRPr="000D16A1">
        <w:rPr>
          <w:b/>
          <w:sz w:val="22"/>
          <w:szCs w:val="22"/>
        </w:rPr>
        <w:t>Enquadramento:</w:t>
      </w:r>
    </w:p>
    <w:p w14:paraId="308355F7" w14:textId="77777777" w:rsidR="001D19D7" w:rsidRDefault="001D19D7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1D19D7">
        <w:rPr>
          <w:sz w:val="22"/>
          <w:szCs w:val="22"/>
        </w:rPr>
        <w:t xml:space="preserve">O Programa Erasmus + é o </w:t>
      </w:r>
      <w:r>
        <w:rPr>
          <w:sz w:val="22"/>
          <w:szCs w:val="22"/>
        </w:rPr>
        <w:t>p</w:t>
      </w:r>
      <w:r w:rsidRPr="001D19D7">
        <w:rPr>
          <w:sz w:val="22"/>
          <w:szCs w:val="22"/>
        </w:rPr>
        <w:t xml:space="preserve">rograma </w:t>
      </w:r>
      <w:r>
        <w:rPr>
          <w:sz w:val="22"/>
          <w:szCs w:val="22"/>
        </w:rPr>
        <w:t>Europeu</w:t>
      </w:r>
      <w:r w:rsidRPr="001D19D7">
        <w:rPr>
          <w:sz w:val="22"/>
          <w:szCs w:val="22"/>
        </w:rPr>
        <w:t xml:space="preserve"> para 2014-2020 na área da educação, formação, juventude e desporto.</w:t>
      </w:r>
    </w:p>
    <w:p w14:paraId="3985B98D" w14:textId="77777777" w:rsidR="00803769" w:rsidRPr="00803769" w:rsidRDefault="00803769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03769">
        <w:rPr>
          <w:sz w:val="22"/>
          <w:szCs w:val="22"/>
        </w:rPr>
        <w:t>A</w:t>
      </w:r>
      <w:r>
        <w:rPr>
          <w:sz w:val="22"/>
          <w:szCs w:val="22"/>
        </w:rPr>
        <w:t>s atividades de</w:t>
      </w:r>
      <w:r w:rsidRPr="00803769">
        <w:rPr>
          <w:sz w:val="22"/>
          <w:szCs w:val="22"/>
        </w:rPr>
        <w:t xml:space="preserve"> mobilidade de pessoal para formação realizam-se entre instituições de ensino superior ou </w:t>
      </w:r>
      <w:r>
        <w:rPr>
          <w:sz w:val="22"/>
          <w:szCs w:val="22"/>
        </w:rPr>
        <w:t>outras organizações</w:t>
      </w:r>
      <w:r w:rsidR="00C7475C">
        <w:rPr>
          <w:sz w:val="22"/>
          <w:szCs w:val="22"/>
        </w:rPr>
        <w:t xml:space="preserve"> de um país </w:t>
      </w:r>
      <w:r w:rsidR="003C715C">
        <w:rPr>
          <w:sz w:val="22"/>
          <w:szCs w:val="22"/>
        </w:rPr>
        <w:t>participante n</w:t>
      </w:r>
      <w:r w:rsidR="00C7475C">
        <w:rPr>
          <w:sz w:val="22"/>
          <w:szCs w:val="22"/>
        </w:rPr>
        <w:t>o Programa</w:t>
      </w:r>
      <w:r w:rsidRPr="00803769">
        <w:rPr>
          <w:sz w:val="22"/>
          <w:szCs w:val="22"/>
        </w:rPr>
        <w:t>.</w:t>
      </w:r>
      <w:r w:rsidR="00C7475C">
        <w:rPr>
          <w:sz w:val="22"/>
          <w:szCs w:val="22"/>
        </w:rPr>
        <w:t xml:space="preserve"> </w:t>
      </w:r>
    </w:p>
    <w:p w14:paraId="5A2C2160" w14:textId="77777777" w:rsidR="00980D4C" w:rsidRDefault="00980D4C" w:rsidP="00980D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03769">
        <w:rPr>
          <w:sz w:val="22"/>
          <w:szCs w:val="22"/>
        </w:rPr>
        <w:t>As missões de formação terão normalmente a duração de uma semana, mas podem ter uma duração mínima de 2 dias (excluindo os dias de viagem) ou prolongar-se até 2 meses.</w:t>
      </w:r>
    </w:p>
    <w:p w14:paraId="6A0940D4" w14:textId="77777777" w:rsidR="00803769" w:rsidRDefault="00803769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03769">
        <w:rPr>
          <w:sz w:val="22"/>
          <w:szCs w:val="22"/>
        </w:rPr>
        <w:t xml:space="preserve"> (excluindo os dias de viagem).</w:t>
      </w:r>
    </w:p>
    <w:p w14:paraId="000906DF" w14:textId="77777777" w:rsidR="00271261" w:rsidRPr="00803769" w:rsidRDefault="00271261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ULisboa leva a concurso </w:t>
      </w:r>
      <w:r w:rsidR="00782144">
        <w:rPr>
          <w:sz w:val="22"/>
          <w:szCs w:val="22"/>
        </w:rPr>
        <w:t>20</w:t>
      </w:r>
      <w:r w:rsidR="005D7256">
        <w:rPr>
          <w:rStyle w:val="FootnoteReference"/>
          <w:sz w:val="22"/>
          <w:szCs w:val="22"/>
        </w:rPr>
        <w:footnoteReference w:id="1"/>
      </w:r>
      <w:r w:rsidRPr="003C715C">
        <w:rPr>
          <w:sz w:val="22"/>
          <w:szCs w:val="22"/>
        </w:rPr>
        <w:t xml:space="preserve"> bolsas de mobilidade Erasmus para Formação, dirigidas aos </w:t>
      </w:r>
      <w:r w:rsidR="00782144">
        <w:rPr>
          <w:sz w:val="22"/>
          <w:szCs w:val="22"/>
        </w:rPr>
        <w:t>t</w:t>
      </w:r>
      <w:r w:rsidRPr="003C715C">
        <w:rPr>
          <w:sz w:val="22"/>
          <w:szCs w:val="22"/>
        </w:rPr>
        <w:t xml:space="preserve">écnicos e </w:t>
      </w:r>
      <w:r w:rsidR="00782144">
        <w:rPr>
          <w:sz w:val="22"/>
          <w:szCs w:val="22"/>
        </w:rPr>
        <w:t>a</w:t>
      </w:r>
      <w:r w:rsidRPr="003C715C">
        <w:rPr>
          <w:sz w:val="22"/>
          <w:szCs w:val="22"/>
        </w:rPr>
        <w:t>dmin</w:t>
      </w:r>
      <w:r w:rsidR="00782144">
        <w:rPr>
          <w:sz w:val="22"/>
          <w:szCs w:val="22"/>
        </w:rPr>
        <w:t>i</w:t>
      </w:r>
      <w:r w:rsidRPr="003C715C">
        <w:rPr>
          <w:sz w:val="22"/>
          <w:szCs w:val="22"/>
        </w:rPr>
        <w:t>strativos.</w:t>
      </w:r>
      <w:r w:rsidR="00003C7F" w:rsidRPr="003C715C">
        <w:rPr>
          <w:sz w:val="22"/>
          <w:szCs w:val="22"/>
        </w:rPr>
        <w:t xml:space="preserve"> As atividades de mobilidade têm d</w:t>
      </w:r>
      <w:r w:rsidR="00D41765" w:rsidRPr="003C715C">
        <w:rPr>
          <w:sz w:val="22"/>
          <w:szCs w:val="22"/>
        </w:rPr>
        <w:t>e estar terminadas até ao dia 31</w:t>
      </w:r>
      <w:r w:rsidR="00003C7F" w:rsidRPr="003C715C">
        <w:rPr>
          <w:sz w:val="22"/>
          <w:szCs w:val="22"/>
        </w:rPr>
        <w:t xml:space="preserve"> de </w:t>
      </w:r>
      <w:r w:rsidR="00A64898">
        <w:rPr>
          <w:sz w:val="22"/>
          <w:szCs w:val="22"/>
        </w:rPr>
        <w:t>dezembro</w:t>
      </w:r>
      <w:r w:rsidR="00003C7F" w:rsidRPr="003C715C">
        <w:rPr>
          <w:sz w:val="22"/>
          <w:szCs w:val="22"/>
        </w:rPr>
        <w:t xml:space="preserve"> de 201</w:t>
      </w:r>
      <w:r w:rsidR="00D94B7C">
        <w:rPr>
          <w:sz w:val="22"/>
          <w:szCs w:val="22"/>
        </w:rPr>
        <w:t>8</w:t>
      </w:r>
      <w:r w:rsidR="00003C7F" w:rsidRPr="003C715C">
        <w:rPr>
          <w:sz w:val="22"/>
          <w:szCs w:val="22"/>
        </w:rPr>
        <w:t>.</w:t>
      </w:r>
    </w:p>
    <w:p w14:paraId="7559442B" w14:textId="77777777" w:rsidR="001D19D7" w:rsidRDefault="001D19D7" w:rsidP="0080376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ingersoftwaremark"/>
          <w:b/>
          <w:bCs/>
          <w:sz w:val="22"/>
          <w:szCs w:val="22"/>
          <w:bdr w:val="none" w:sz="0" w:space="0" w:color="auto" w:frame="1"/>
        </w:rPr>
      </w:pPr>
    </w:p>
    <w:p w14:paraId="7C99176F" w14:textId="77777777" w:rsidR="00803769" w:rsidRPr="00803769" w:rsidRDefault="00803769" w:rsidP="0080376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03769">
        <w:rPr>
          <w:rStyle w:val="gingersoftwaremark"/>
          <w:b/>
          <w:bCs/>
          <w:sz w:val="22"/>
          <w:szCs w:val="22"/>
          <w:bdr w:val="none" w:sz="0" w:space="0" w:color="auto" w:frame="1"/>
        </w:rPr>
        <w:t>Objetivos</w:t>
      </w:r>
      <w:r>
        <w:rPr>
          <w:rStyle w:val="gingersoftwaremark"/>
          <w:b/>
          <w:bCs/>
          <w:sz w:val="22"/>
          <w:szCs w:val="22"/>
          <w:bdr w:val="none" w:sz="0" w:space="0" w:color="auto" w:frame="1"/>
        </w:rPr>
        <w:t>:</w:t>
      </w:r>
    </w:p>
    <w:p w14:paraId="182507DF" w14:textId="77777777" w:rsidR="00271261" w:rsidRDefault="00803769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03769">
        <w:rPr>
          <w:sz w:val="22"/>
          <w:szCs w:val="22"/>
        </w:rPr>
        <w:t xml:space="preserve">– Permitir a aquisição de conhecimentos ou saberes especializados a partir de experiências e boas práticas </w:t>
      </w:r>
      <w:r>
        <w:rPr>
          <w:sz w:val="22"/>
          <w:szCs w:val="22"/>
        </w:rPr>
        <w:t>em instituições</w:t>
      </w:r>
      <w:r w:rsidR="00271261">
        <w:rPr>
          <w:sz w:val="22"/>
          <w:szCs w:val="22"/>
        </w:rPr>
        <w:t xml:space="preserve"> / serviços</w:t>
      </w:r>
      <w:r>
        <w:rPr>
          <w:sz w:val="22"/>
          <w:szCs w:val="22"/>
        </w:rPr>
        <w:t xml:space="preserve"> congéneres europe</w:t>
      </w:r>
      <w:r w:rsidR="00271261">
        <w:rPr>
          <w:sz w:val="22"/>
          <w:szCs w:val="22"/>
        </w:rPr>
        <w:t>us;</w:t>
      </w:r>
      <w:r w:rsidRPr="00803769">
        <w:rPr>
          <w:sz w:val="22"/>
          <w:szCs w:val="22"/>
        </w:rPr>
        <w:t xml:space="preserve"> </w:t>
      </w:r>
    </w:p>
    <w:p w14:paraId="5FABA3F1" w14:textId="77777777" w:rsidR="00B62E4A" w:rsidRDefault="00271261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71261">
        <w:rPr>
          <w:sz w:val="22"/>
          <w:szCs w:val="22"/>
        </w:rPr>
        <w:t>–</w:t>
      </w:r>
      <w:r>
        <w:rPr>
          <w:sz w:val="22"/>
          <w:szCs w:val="22"/>
        </w:rPr>
        <w:t xml:space="preserve"> Permitir o desenvolvimento </w:t>
      </w:r>
      <w:r w:rsidR="00803769" w:rsidRPr="00803769">
        <w:rPr>
          <w:sz w:val="22"/>
          <w:szCs w:val="22"/>
        </w:rPr>
        <w:t>de competências práticas relevantes para o desempenho das suas funções e para o seu desenvolvimento profissional;</w:t>
      </w:r>
    </w:p>
    <w:p w14:paraId="56BD3BA7" w14:textId="77777777" w:rsidR="001D19D7" w:rsidRDefault="00803769" w:rsidP="00B62E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03769">
        <w:rPr>
          <w:sz w:val="22"/>
          <w:szCs w:val="22"/>
        </w:rPr>
        <w:t>– Ajudar a construir a cooperação entre instituições de ensino superior e empresas;</w:t>
      </w:r>
    </w:p>
    <w:p w14:paraId="34A64D1C" w14:textId="77777777" w:rsidR="00271261" w:rsidRPr="00803769" w:rsidRDefault="00271261" w:rsidP="001D19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</w:p>
    <w:p w14:paraId="6AE90409" w14:textId="77777777" w:rsidR="00803769" w:rsidRPr="006441E1" w:rsidRDefault="00AC173D" w:rsidP="00FA7DC3">
      <w:pPr>
        <w:rPr>
          <w:sz w:val="22"/>
          <w:szCs w:val="22"/>
        </w:rPr>
      </w:pPr>
      <w:r w:rsidRPr="006441E1">
        <w:rPr>
          <w:b/>
          <w:sz w:val="22"/>
          <w:szCs w:val="22"/>
        </w:rPr>
        <w:t>Candidatos Elegíveis</w:t>
      </w:r>
      <w:r w:rsidR="00FA7DC3" w:rsidRPr="006441E1">
        <w:rPr>
          <w:b/>
          <w:sz w:val="22"/>
          <w:szCs w:val="22"/>
        </w:rPr>
        <w:t>:</w:t>
      </w:r>
      <w:r w:rsidR="00FA7DC3" w:rsidRPr="006441E1">
        <w:rPr>
          <w:sz w:val="22"/>
          <w:szCs w:val="22"/>
        </w:rPr>
        <w:t xml:space="preserve"> </w:t>
      </w:r>
    </w:p>
    <w:p w14:paraId="084CB772" w14:textId="77777777" w:rsidR="00FA7DC3" w:rsidRPr="00D41765" w:rsidRDefault="00980D4C" w:rsidP="00B62E4A">
      <w:pPr>
        <w:jc w:val="both"/>
        <w:rPr>
          <w:sz w:val="22"/>
          <w:szCs w:val="22"/>
        </w:rPr>
      </w:pPr>
      <w:r>
        <w:rPr>
          <w:sz w:val="22"/>
          <w:szCs w:val="22"/>
        </w:rPr>
        <w:t>A a</w:t>
      </w:r>
      <w:r w:rsidR="00803769" w:rsidRPr="00D41765">
        <w:rPr>
          <w:sz w:val="22"/>
          <w:szCs w:val="22"/>
        </w:rPr>
        <w:t>ção é dirigida a técnicos e administrativos</w:t>
      </w:r>
      <w:r w:rsidR="00FA7DC3" w:rsidRPr="00D41765">
        <w:rPr>
          <w:sz w:val="22"/>
          <w:szCs w:val="22"/>
        </w:rPr>
        <w:t xml:space="preserve"> com contrato de traba</w:t>
      </w:r>
      <w:r w:rsidR="005D7256">
        <w:rPr>
          <w:sz w:val="22"/>
          <w:szCs w:val="22"/>
        </w:rPr>
        <w:t>lho com a Universidade de Lisboa (incluindo SCUL, SAS e Escolas)</w:t>
      </w:r>
      <w:r w:rsidR="00FA7DC3" w:rsidRPr="00D41765">
        <w:rPr>
          <w:sz w:val="22"/>
          <w:szCs w:val="22"/>
        </w:rPr>
        <w:t xml:space="preserve">, independentemente da duração. </w:t>
      </w:r>
    </w:p>
    <w:p w14:paraId="022652BB" w14:textId="77777777" w:rsidR="00FA7DC3" w:rsidRPr="00D41765" w:rsidRDefault="00FA7DC3" w:rsidP="00B62E4A">
      <w:pPr>
        <w:jc w:val="both"/>
        <w:rPr>
          <w:sz w:val="22"/>
          <w:szCs w:val="22"/>
        </w:rPr>
      </w:pPr>
      <w:r w:rsidRPr="00D41765">
        <w:rPr>
          <w:sz w:val="22"/>
          <w:szCs w:val="22"/>
        </w:rPr>
        <w:t>Alerta-se que</w:t>
      </w:r>
      <w:r w:rsidR="00803769" w:rsidRPr="00D41765">
        <w:rPr>
          <w:sz w:val="22"/>
          <w:szCs w:val="22"/>
        </w:rPr>
        <w:t>,</w:t>
      </w:r>
      <w:r w:rsidRPr="00D41765">
        <w:rPr>
          <w:sz w:val="22"/>
          <w:szCs w:val="22"/>
        </w:rPr>
        <w:t xml:space="preserve"> devido ao tipo de contrato, os Bolseiros não são elegíveis para participar nesta ação.</w:t>
      </w:r>
    </w:p>
    <w:p w14:paraId="134079E6" w14:textId="77777777" w:rsidR="00FA7DC3" w:rsidRPr="00D41765" w:rsidRDefault="00FA7DC3">
      <w:pPr>
        <w:rPr>
          <w:sz w:val="22"/>
          <w:szCs w:val="22"/>
        </w:rPr>
      </w:pPr>
    </w:p>
    <w:p w14:paraId="2B91153F" w14:textId="77777777" w:rsidR="00271261" w:rsidRPr="006441E1" w:rsidRDefault="005B7B00" w:rsidP="00271261">
      <w:pPr>
        <w:rPr>
          <w:b/>
          <w:sz w:val="22"/>
          <w:szCs w:val="22"/>
        </w:rPr>
      </w:pPr>
      <w:r w:rsidRPr="006441E1">
        <w:rPr>
          <w:b/>
          <w:sz w:val="22"/>
          <w:szCs w:val="22"/>
        </w:rPr>
        <w:t>Países</w:t>
      </w:r>
      <w:r w:rsidR="00271261" w:rsidRPr="006441E1">
        <w:rPr>
          <w:b/>
          <w:sz w:val="22"/>
          <w:szCs w:val="22"/>
        </w:rPr>
        <w:t xml:space="preserve"> elegíveis:</w:t>
      </w:r>
    </w:p>
    <w:p w14:paraId="77E8CE33" w14:textId="77777777" w:rsidR="005B7B00" w:rsidRDefault="005B7B00" w:rsidP="005B7B00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020"/>
        <w:gridCol w:w="37"/>
        <w:gridCol w:w="1418"/>
        <w:gridCol w:w="565"/>
        <w:gridCol w:w="1413"/>
        <w:gridCol w:w="610"/>
      </w:tblGrid>
      <w:tr w:rsidR="005B7B00" w:rsidRPr="005B7B00" w14:paraId="3B24FAFE" w14:textId="77777777" w:rsidTr="005B7B00">
        <w:trPr>
          <w:trHeight w:val="104"/>
        </w:trPr>
        <w:tc>
          <w:tcPr>
            <w:tcW w:w="8083" w:type="dxa"/>
            <w:gridSpan w:val="7"/>
          </w:tcPr>
          <w:p w14:paraId="393B8333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Estados-Membros da União Europeia (UE) </w:t>
            </w:r>
          </w:p>
        </w:tc>
      </w:tr>
      <w:tr w:rsidR="005B7B00" w:rsidRPr="005B7B00" w14:paraId="29C2CB4D" w14:textId="77777777" w:rsidTr="005B7B00">
        <w:trPr>
          <w:trHeight w:val="739"/>
        </w:trPr>
        <w:tc>
          <w:tcPr>
            <w:tcW w:w="2020" w:type="dxa"/>
          </w:tcPr>
          <w:p w14:paraId="14BDB659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Bélgica</w:t>
            </w:r>
          </w:p>
          <w:p w14:paraId="4D09202A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Bulgária</w:t>
            </w:r>
          </w:p>
          <w:p w14:paraId="7223CF0F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República Checa</w:t>
            </w:r>
          </w:p>
          <w:p w14:paraId="62CB708D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Dinamarca</w:t>
            </w:r>
          </w:p>
          <w:p w14:paraId="31A9C609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Alemanha</w:t>
            </w:r>
          </w:p>
          <w:p w14:paraId="591F27ED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Estónia</w:t>
            </w:r>
          </w:p>
          <w:p w14:paraId="1B4B9514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 xml:space="preserve">Irlanda </w:t>
            </w:r>
          </w:p>
        </w:tc>
        <w:tc>
          <w:tcPr>
            <w:tcW w:w="2020" w:type="dxa"/>
          </w:tcPr>
          <w:p w14:paraId="3DA2DBE9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Grécia</w:t>
            </w:r>
          </w:p>
          <w:p w14:paraId="2BDB439A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Espanha</w:t>
            </w:r>
          </w:p>
          <w:p w14:paraId="15BD2924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França</w:t>
            </w:r>
          </w:p>
          <w:p w14:paraId="14DFF46A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Croácia</w:t>
            </w:r>
          </w:p>
          <w:p w14:paraId="6EB05208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Itália</w:t>
            </w:r>
          </w:p>
          <w:p w14:paraId="7D4800B4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Chipre</w:t>
            </w:r>
          </w:p>
          <w:p w14:paraId="4E4FE6B6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Letónia</w:t>
            </w:r>
          </w:p>
        </w:tc>
        <w:tc>
          <w:tcPr>
            <w:tcW w:w="2020" w:type="dxa"/>
            <w:gridSpan w:val="3"/>
          </w:tcPr>
          <w:p w14:paraId="6A52AE8E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Lituânia</w:t>
            </w:r>
          </w:p>
          <w:p w14:paraId="00FF60A5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Luxemburgo</w:t>
            </w:r>
          </w:p>
          <w:p w14:paraId="602B525C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Hungria</w:t>
            </w:r>
          </w:p>
          <w:p w14:paraId="79038B01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Malta</w:t>
            </w:r>
          </w:p>
          <w:p w14:paraId="17F8AD23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Países Baixos</w:t>
            </w:r>
          </w:p>
          <w:p w14:paraId="3A16D049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Áustria</w:t>
            </w:r>
          </w:p>
          <w:p w14:paraId="18415FAE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Polónia</w:t>
            </w:r>
          </w:p>
        </w:tc>
        <w:tc>
          <w:tcPr>
            <w:tcW w:w="2023" w:type="dxa"/>
            <w:gridSpan w:val="2"/>
          </w:tcPr>
          <w:p w14:paraId="1F0063EA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Portugal</w:t>
            </w:r>
          </w:p>
          <w:p w14:paraId="6D05C958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Roménia</w:t>
            </w:r>
          </w:p>
          <w:p w14:paraId="120A1DCC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Eslovénia</w:t>
            </w:r>
          </w:p>
          <w:p w14:paraId="2925D315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Eslováquia</w:t>
            </w:r>
          </w:p>
          <w:p w14:paraId="2B1F9A68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Finlândia</w:t>
            </w:r>
          </w:p>
          <w:p w14:paraId="76735016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Suécia</w:t>
            </w:r>
          </w:p>
          <w:p w14:paraId="40D440B2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Reino Unido</w:t>
            </w:r>
          </w:p>
        </w:tc>
      </w:tr>
      <w:tr w:rsidR="005B7B00" w:rsidRPr="005B7B00" w14:paraId="670C1CA1" w14:textId="77777777" w:rsidTr="005B7B00">
        <w:trPr>
          <w:gridAfter w:val="1"/>
          <w:wAfter w:w="610" w:type="dxa"/>
          <w:trHeight w:val="87"/>
        </w:trPr>
        <w:tc>
          <w:tcPr>
            <w:tcW w:w="7473" w:type="dxa"/>
            <w:gridSpan w:val="6"/>
          </w:tcPr>
          <w:p w14:paraId="30FE0C42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291E2A" w14:textId="77777777" w:rsidR="005B7B00" w:rsidRDefault="005B7B0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76F119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Países do Programa fora da UE</w:t>
            </w:r>
          </w:p>
        </w:tc>
      </w:tr>
      <w:tr w:rsidR="005B7B00" w:rsidRPr="005B7B00" w14:paraId="740B5B4C" w14:textId="77777777" w:rsidTr="00D41765">
        <w:trPr>
          <w:gridAfter w:val="1"/>
          <w:wAfter w:w="610" w:type="dxa"/>
          <w:trHeight w:val="217"/>
        </w:trPr>
        <w:tc>
          <w:tcPr>
            <w:tcW w:w="4077" w:type="dxa"/>
            <w:gridSpan w:val="3"/>
          </w:tcPr>
          <w:p w14:paraId="56B33071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República</w:t>
            </w:r>
            <w:r w:rsidR="00D417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1765" w:rsidRPr="005B7B00">
              <w:rPr>
                <w:rFonts w:ascii="Times New Roman" w:hAnsi="Times New Roman" w:cs="Times New Roman"/>
                <w:sz w:val="22"/>
                <w:szCs w:val="22"/>
              </w:rPr>
              <w:t>da Macedónia</w:t>
            </w:r>
          </w:p>
          <w:p w14:paraId="335644BB" w14:textId="77777777" w:rsidR="00D41765" w:rsidRPr="005B7B00" w:rsidRDefault="00D417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Noruega</w:t>
            </w:r>
          </w:p>
        </w:tc>
        <w:tc>
          <w:tcPr>
            <w:tcW w:w="1418" w:type="dxa"/>
          </w:tcPr>
          <w:p w14:paraId="0F978012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Islândia</w:t>
            </w:r>
          </w:p>
          <w:p w14:paraId="4218E69D" w14:textId="77777777" w:rsidR="005B7B00" w:rsidRPr="005B7B00" w:rsidRDefault="00D417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Turquia</w:t>
            </w:r>
          </w:p>
        </w:tc>
        <w:tc>
          <w:tcPr>
            <w:tcW w:w="1978" w:type="dxa"/>
            <w:gridSpan w:val="2"/>
          </w:tcPr>
          <w:p w14:paraId="5053F817" w14:textId="77777777" w:rsidR="005B7B00" w:rsidRPr="005B7B00" w:rsidRDefault="006441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echte</w:t>
            </w:r>
            <w:r w:rsidRPr="005B7B00">
              <w:rPr>
                <w:rFonts w:ascii="Times New Roman" w:hAnsi="Times New Roman" w:cs="Times New Roman"/>
                <w:sz w:val="22"/>
                <w:szCs w:val="22"/>
              </w:rPr>
              <w:t>nstein</w:t>
            </w:r>
          </w:p>
          <w:p w14:paraId="40616924" w14:textId="77777777" w:rsidR="005B7B00" w:rsidRPr="005B7B00" w:rsidRDefault="005B7B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BA6EEA" w14:textId="77777777" w:rsidR="00271261" w:rsidRDefault="00271261" w:rsidP="00271261">
      <w:pPr>
        <w:rPr>
          <w:b/>
        </w:rPr>
      </w:pPr>
    </w:p>
    <w:p w14:paraId="753DEE08" w14:textId="77777777" w:rsidR="00C7475C" w:rsidRDefault="00C7475C" w:rsidP="00271261">
      <w:pPr>
        <w:rPr>
          <w:b/>
        </w:rPr>
      </w:pPr>
    </w:p>
    <w:p w14:paraId="63E19FD1" w14:textId="77777777" w:rsidR="00C7475C" w:rsidRPr="006441E1" w:rsidRDefault="00C7475C" w:rsidP="00271261">
      <w:pPr>
        <w:rPr>
          <w:b/>
          <w:sz w:val="22"/>
          <w:szCs w:val="22"/>
        </w:rPr>
      </w:pPr>
      <w:r w:rsidRPr="006441E1">
        <w:rPr>
          <w:b/>
          <w:sz w:val="22"/>
          <w:szCs w:val="22"/>
        </w:rPr>
        <w:t>Inst</w:t>
      </w:r>
      <w:r w:rsidR="00D41765" w:rsidRPr="006441E1">
        <w:rPr>
          <w:b/>
          <w:sz w:val="22"/>
          <w:szCs w:val="22"/>
        </w:rPr>
        <w:t>ituições de acolhimento elegíveis</w:t>
      </w:r>
      <w:r w:rsidRPr="006441E1">
        <w:rPr>
          <w:b/>
          <w:sz w:val="22"/>
          <w:szCs w:val="22"/>
        </w:rPr>
        <w:t>:</w:t>
      </w:r>
    </w:p>
    <w:p w14:paraId="61BCF8F4" w14:textId="77777777" w:rsidR="00C7475C" w:rsidRDefault="00C7475C" w:rsidP="00B62E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1765">
        <w:rPr>
          <w:sz w:val="22"/>
          <w:szCs w:val="22"/>
          <w:lang w:eastAsia="en-US"/>
        </w:rPr>
        <w:t xml:space="preserve">Uma </w:t>
      </w:r>
      <w:r w:rsidRPr="00D41765">
        <w:rPr>
          <w:sz w:val="22"/>
          <w:szCs w:val="22"/>
        </w:rPr>
        <w:t xml:space="preserve">instituição de ensino </w:t>
      </w:r>
      <w:r w:rsidR="00782144" w:rsidRPr="00D41765">
        <w:rPr>
          <w:sz w:val="22"/>
          <w:szCs w:val="22"/>
        </w:rPr>
        <w:t>superior</w:t>
      </w:r>
      <w:r w:rsidR="00782144" w:rsidRPr="00D41765">
        <w:rPr>
          <w:sz w:val="22"/>
          <w:szCs w:val="22"/>
          <w:lang w:eastAsia="en-US"/>
        </w:rPr>
        <w:t xml:space="preserve"> (IES</w:t>
      </w:r>
      <w:r w:rsidRPr="00D41765">
        <w:rPr>
          <w:sz w:val="22"/>
          <w:szCs w:val="22"/>
          <w:lang w:eastAsia="en-US"/>
        </w:rPr>
        <w:t xml:space="preserve">) de um país </w:t>
      </w:r>
      <w:r w:rsidRPr="00D41765">
        <w:rPr>
          <w:sz w:val="22"/>
          <w:szCs w:val="22"/>
        </w:rPr>
        <w:t>elegível</w:t>
      </w:r>
      <w:r w:rsidRPr="00D41765">
        <w:rPr>
          <w:sz w:val="22"/>
          <w:szCs w:val="22"/>
          <w:lang w:eastAsia="en-US"/>
        </w:rPr>
        <w:t xml:space="preserve"> ou </w:t>
      </w:r>
      <w:r w:rsidRPr="00D41765">
        <w:rPr>
          <w:sz w:val="22"/>
          <w:szCs w:val="22"/>
        </w:rPr>
        <w:t xml:space="preserve">qualquer organização, pública ou privada de um </w:t>
      </w:r>
      <w:r w:rsidRPr="00D41765">
        <w:rPr>
          <w:sz w:val="22"/>
          <w:szCs w:val="22"/>
          <w:lang w:eastAsia="en-US"/>
        </w:rPr>
        <w:t xml:space="preserve">país </w:t>
      </w:r>
      <w:r w:rsidRPr="00D41765">
        <w:rPr>
          <w:sz w:val="22"/>
          <w:szCs w:val="22"/>
        </w:rPr>
        <w:t xml:space="preserve">elegível, ativa no mercado de trabalho ou nos domínios da educação, da formação e da juventude. </w:t>
      </w:r>
    </w:p>
    <w:p w14:paraId="29A7954A" w14:textId="77777777" w:rsidR="00C7475C" w:rsidRDefault="00C7475C" w:rsidP="00271261">
      <w:pPr>
        <w:rPr>
          <w:b/>
        </w:rPr>
      </w:pPr>
    </w:p>
    <w:p w14:paraId="1D16F9E6" w14:textId="77777777" w:rsidR="00271261" w:rsidRDefault="00271261" w:rsidP="00271261">
      <w:pPr>
        <w:rPr>
          <w:b/>
        </w:rPr>
      </w:pPr>
    </w:p>
    <w:p w14:paraId="157DA102" w14:textId="77777777" w:rsidR="00271261" w:rsidRPr="006441E1" w:rsidRDefault="00271261" w:rsidP="00271261">
      <w:pPr>
        <w:rPr>
          <w:b/>
          <w:sz w:val="22"/>
          <w:szCs w:val="22"/>
        </w:rPr>
      </w:pPr>
      <w:r w:rsidRPr="006441E1">
        <w:rPr>
          <w:b/>
          <w:sz w:val="22"/>
          <w:szCs w:val="22"/>
        </w:rPr>
        <w:t>Bolsas:</w:t>
      </w:r>
    </w:p>
    <w:p w14:paraId="0F9682E6" w14:textId="77777777" w:rsidR="00271261" w:rsidRPr="00D41765" w:rsidRDefault="00271261" w:rsidP="00271261">
      <w:pPr>
        <w:jc w:val="both"/>
        <w:rPr>
          <w:sz w:val="22"/>
          <w:szCs w:val="22"/>
        </w:rPr>
      </w:pPr>
      <w:r w:rsidRPr="00D41765">
        <w:rPr>
          <w:sz w:val="22"/>
          <w:szCs w:val="22"/>
        </w:rPr>
        <w:t>O valor das bolsas é calculado individualmente, de acordo com a tabela de bolsas da Agência Nacional, tendo em conta o número de dias de formação para o respectivo país de destino, aos quais poderão acrescer até 2 dias de via</w:t>
      </w:r>
      <w:r w:rsidR="00A64898">
        <w:rPr>
          <w:sz w:val="22"/>
          <w:szCs w:val="22"/>
        </w:rPr>
        <w:t>g</w:t>
      </w:r>
      <w:r w:rsidRPr="00D41765">
        <w:rPr>
          <w:sz w:val="22"/>
          <w:szCs w:val="22"/>
        </w:rPr>
        <w:t>em, bem como o valor da viagem, calculado de acordo com a banda de distância para o país de destino e</w:t>
      </w:r>
      <w:r w:rsidR="00A64898">
        <w:rPr>
          <w:sz w:val="22"/>
          <w:szCs w:val="22"/>
        </w:rPr>
        <w:t xml:space="preserve"> a respe</w:t>
      </w:r>
      <w:r w:rsidR="00D41765">
        <w:rPr>
          <w:sz w:val="22"/>
          <w:szCs w:val="22"/>
        </w:rPr>
        <w:t>tiva tabela de bolsas.</w:t>
      </w:r>
      <w:r w:rsidR="00A64898">
        <w:rPr>
          <w:sz w:val="22"/>
          <w:szCs w:val="22"/>
        </w:rPr>
        <w:t xml:space="preserve"> Chama-se a atenção para o fa</w:t>
      </w:r>
      <w:r w:rsidR="005D7256">
        <w:rPr>
          <w:sz w:val="22"/>
          <w:szCs w:val="22"/>
        </w:rPr>
        <w:t>c</w:t>
      </w:r>
      <w:r w:rsidR="00B0584F">
        <w:rPr>
          <w:sz w:val="22"/>
          <w:szCs w:val="22"/>
        </w:rPr>
        <w:t>to de os dias de fim-de-semana não poderem ser contabilizados para atribuição de bolsa, salvo os que consistirem em dias de viagem.</w:t>
      </w:r>
    </w:p>
    <w:p w14:paraId="1C287BBC" w14:textId="77777777" w:rsidR="00B471FA" w:rsidRPr="00D41765" w:rsidRDefault="00271261" w:rsidP="00271261">
      <w:pPr>
        <w:jc w:val="both"/>
        <w:rPr>
          <w:sz w:val="22"/>
          <w:szCs w:val="22"/>
        </w:rPr>
      </w:pPr>
      <w:r w:rsidRPr="00D41765">
        <w:rPr>
          <w:sz w:val="22"/>
          <w:szCs w:val="22"/>
        </w:rPr>
        <w:t xml:space="preserve">O valor máximo de cada bolsa é de </w:t>
      </w:r>
      <w:r w:rsidRPr="00D41765">
        <w:rPr>
          <w:color w:val="auto"/>
          <w:sz w:val="22"/>
          <w:szCs w:val="22"/>
        </w:rPr>
        <w:t>8</w:t>
      </w:r>
      <w:r w:rsidR="00DE07CD">
        <w:rPr>
          <w:color w:val="auto"/>
          <w:sz w:val="22"/>
          <w:szCs w:val="22"/>
        </w:rPr>
        <w:t>85</w:t>
      </w:r>
      <w:r w:rsidRPr="00D41765">
        <w:rPr>
          <w:sz w:val="22"/>
          <w:szCs w:val="22"/>
        </w:rPr>
        <w:t xml:space="preserve">,00 €, não estando previsto o reembolso de </w:t>
      </w:r>
      <w:r w:rsidR="00A64898" w:rsidRPr="00D41765">
        <w:rPr>
          <w:sz w:val="22"/>
          <w:szCs w:val="22"/>
        </w:rPr>
        <w:t>quaisquer</w:t>
      </w:r>
      <w:r w:rsidRPr="00D41765">
        <w:rPr>
          <w:sz w:val="22"/>
          <w:szCs w:val="22"/>
        </w:rPr>
        <w:t xml:space="preserve"> outros custos.</w:t>
      </w:r>
    </w:p>
    <w:p w14:paraId="581FAE64" w14:textId="77777777" w:rsidR="00271261" w:rsidRDefault="00271261"/>
    <w:p w14:paraId="52721D06" w14:textId="77777777" w:rsidR="00803769" w:rsidRPr="006441E1" w:rsidRDefault="00803769" w:rsidP="001D19D7">
      <w:pPr>
        <w:spacing w:before="100" w:beforeAutospacing="1"/>
        <w:rPr>
          <w:sz w:val="22"/>
          <w:szCs w:val="22"/>
        </w:rPr>
      </w:pPr>
      <w:r w:rsidRPr="006441E1">
        <w:rPr>
          <w:b/>
          <w:sz w:val="22"/>
          <w:szCs w:val="22"/>
        </w:rPr>
        <w:t>Forma e Prazo de Candidatura</w:t>
      </w:r>
      <w:r w:rsidRPr="006441E1">
        <w:rPr>
          <w:sz w:val="22"/>
          <w:szCs w:val="22"/>
        </w:rPr>
        <w:t>:</w:t>
      </w:r>
    </w:p>
    <w:p w14:paraId="7ED06231" w14:textId="77777777" w:rsidR="00B471FA" w:rsidRDefault="00B471FA" w:rsidP="001D19D7">
      <w:pPr>
        <w:rPr>
          <w:sz w:val="22"/>
          <w:szCs w:val="22"/>
        </w:rPr>
      </w:pPr>
      <w:r>
        <w:rPr>
          <w:sz w:val="22"/>
          <w:szCs w:val="22"/>
        </w:rPr>
        <w:t>Os candidatos deverão encontrar uma instituição de acolhimento do seu interesse e realizar os respectivos contactos para poderem ser recebidos na mesma.</w:t>
      </w:r>
    </w:p>
    <w:p w14:paraId="1B53EB0A" w14:textId="77777777" w:rsidR="00B471FA" w:rsidRDefault="00B471FA" w:rsidP="001D19D7">
      <w:pPr>
        <w:rPr>
          <w:sz w:val="22"/>
          <w:szCs w:val="22"/>
        </w:rPr>
      </w:pPr>
    </w:p>
    <w:p w14:paraId="7D6C8E35" w14:textId="77777777" w:rsidR="00803769" w:rsidRPr="00D41765" w:rsidRDefault="00803769" w:rsidP="001D19D7">
      <w:pPr>
        <w:rPr>
          <w:sz w:val="22"/>
          <w:szCs w:val="22"/>
        </w:rPr>
      </w:pPr>
      <w:r w:rsidRPr="00D41765">
        <w:rPr>
          <w:sz w:val="22"/>
          <w:szCs w:val="22"/>
        </w:rPr>
        <w:t>As candidaturas dever</w:t>
      </w:r>
      <w:r w:rsidR="00D24F44" w:rsidRPr="00D41765">
        <w:rPr>
          <w:sz w:val="22"/>
          <w:szCs w:val="22"/>
        </w:rPr>
        <w:t>ão incluir:</w:t>
      </w:r>
    </w:p>
    <w:p w14:paraId="48989492" w14:textId="77777777" w:rsidR="00D24F44" w:rsidRPr="00D41765" w:rsidRDefault="00D24F44" w:rsidP="001D19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1765">
        <w:rPr>
          <w:color w:val="auto"/>
          <w:sz w:val="22"/>
          <w:szCs w:val="22"/>
        </w:rPr>
        <w:t>O formulário de</w:t>
      </w:r>
      <w:r w:rsidR="00F06977" w:rsidRPr="00D41765">
        <w:rPr>
          <w:color w:val="auto"/>
          <w:sz w:val="22"/>
          <w:szCs w:val="22"/>
        </w:rPr>
        <w:t xml:space="preserve"> </w:t>
      </w:r>
      <w:hyperlink r:id="rId11" w:history="1">
        <w:r w:rsidR="00F06977" w:rsidRPr="009D24A6">
          <w:rPr>
            <w:rStyle w:val="Hyperlink"/>
            <w:sz w:val="22"/>
            <w:szCs w:val="22"/>
          </w:rPr>
          <w:t>F</w:t>
        </w:r>
        <w:r w:rsidRPr="009D24A6">
          <w:rPr>
            <w:rStyle w:val="Hyperlink"/>
            <w:sz w:val="22"/>
            <w:szCs w:val="22"/>
          </w:rPr>
          <w:t xml:space="preserve">icha de </w:t>
        </w:r>
        <w:r w:rsidR="00F06977" w:rsidRPr="009D24A6">
          <w:rPr>
            <w:rStyle w:val="Hyperlink"/>
            <w:sz w:val="22"/>
            <w:szCs w:val="22"/>
          </w:rPr>
          <w:t>Pessoal</w:t>
        </w:r>
      </w:hyperlink>
      <w:r w:rsidRPr="00D41765">
        <w:rPr>
          <w:color w:val="auto"/>
          <w:sz w:val="22"/>
          <w:szCs w:val="22"/>
        </w:rPr>
        <w:t xml:space="preserve"> preenchido e com a estimativa de custos</w:t>
      </w:r>
      <w:r w:rsidR="00F06977" w:rsidRPr="00D41765">
        <w:rPr>
          <w:sz w:val="22"/>
          <w:szCs w:val="22"/>
        </w:rPr>
        <w:t xml:space="preserve"> com base na</w:t>
      </w:r>
      <w:r w:rsidRPr="00D41765">
        <w:rPr>
          <w:sz w:val="22"/>
          <w:szCs w:val="22"/>
        </w:rPr>
        <w:t xml:space="preserve"> </w:t>
      </w:r>
      <w:hyperlink r:id="rId12" w:history="1">
        <w:r w:rsidR="00765715" w:rsidRPr="003C715C">
          <w:rPr>
            <w:rStyle w:val="Hyperlink"/>
            <w:sz w:val="22"/>
            <w:szCs w:val="22"/>
          </w:rPr>
          <w:t>T</w:t>
        </w:r>
        <w:r w:rsidRPr="003C715C">
          <w:rPr>
            <w:rStyle w:val="Hyperlink"/>
            <w:sz w:val="22"/>
            <w:szCs w:val="22"/>
          </w:rPr>
          <w:t>abela de Bolsas</w:t>
        </w:r>
      </w:hyperlink>
      <w:r w:rsidRPr="00D41765">
        <w:rPr>
          <w:sz w:val="22"/>
          <w:szCs w:val="22"/>
        </w:rPr>
        <w:t xml:space="preserve"> Erasmus</w:t>
      </w:r>
      <w:r w:rsidR="00463B90" w:rsidRPr="00D41765">
        <w:rPr>
          <w:sz w:val="22"/>
          <w:szCs w:val="22"/>
        </w:rPr>
        <w:t>;</w:t>
      </w:r>
      <w:r w:rsidRPr="00D41765">
        <w:rPr>
          <w:sz w:val="22"/>
          <w:szCs w:val="22"/>
        </w:rPr>
        <w:t xml:space="preserve"> </w:t>
      </w:r>
    </w:p>
    <w:p w14:paraId="20886EB2" w14:textId="77777777" w:rsidR="00D24F44" w:rsidRPr="00D41765" w:rsidRDefault="00D24F44" w:rsidP="00F7175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41765">
        <w:rPr>
          <w:color w:val="auto"/>
          <w:sz w:val="22"/>
          <w:szCs w:val="22"/>
        </w:rPr>
        <w:t xml:space="preserve">O </w:t>
      </w:r>
      <w:hyperlink r:id="rId13" w:history="1">
        <w:r w:rsidRPr="009D24A6">
          <w:rPr>
            <w:rStyle w:val="Hyperlink"/>
            <w:sz w:val="22"/>
            <w:szCs w:val="22"/>
          </w:rPr>
          <w:t xml:space="preserve">Programa de </w:t>
        </w:r>
        <w:r w:rsidR="00765715" w:rsidRPr="009D24A6">
          <w:rPr>
            <w:rStyle w:val="Hyperlink"/>
            <w:sz w:val="22"/>
            <w:szCs w:val="22"/>
          </w:rPr>
          <w:t>trabalho</w:t>
        </w:r>
      </w:hyperlink>
      <w:r w:rsidR="00F71751">
        <w:rPr>
          <w:color w:val="auto"/>
          <w:sz w:val="22"/>
          <w:szCs w:val="22"/>
        </w:rPr>
        <w:t xml:space="preserve"> (</w:t>
      </w:r>
      <w:r w:rsidR="00F71751" w:rsidRPr="003C715C">
        <w:rPr>
          <w:color w:val="auto"/>
          <w:sz w:val="22"/>
          <w:szCs w:val="22"/>
        </w:rPr>
        <w:t>no caso de não estar assinado pela instituição de acolhimento, deverá ser entregue e-mail comprovativo da aceitação do candidato</w:t>
      </w:r>
      <w:r w:rsidR="00F71751">
        <w:rPr>
          <w:color w:val="auto"/>
          <w:sz w:val="22"/>
          <w:szCs w:val="22"/>
        </w:rPr>
        <w:t>);</w:t>
      </w:r>
      <w:r w:rsidRPr="00D41765">
        <w:rPr>
          <w:color w:val="auto"/>
          <w:sz w:val="22"/>
          <w:szCs w:val="22"/>
        </w:rPr>
        <w:t xml:space="preserve"> </w:t>
      </w:r>
    </w:p>
    <w:p w14:paraId="2D0B6B59" w14:textId="77777777" w:rsidR="00D24F44" w:rsidRPr="00D41765" w:rsidRDefault="00D24F44" w:rsidP="00F0697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41765">
        <w:rPr>
          <w:color w:val="auto"/>
          <w:sz w:val="22"/>
          <w:szCs w:val="22"/>
        </w:rPr>
        <w:t>Uma curta descrição dos objetivos da missão e dos benefícios previstos para o serviço / instituição de origem</w:t>
      </w:r>
      <w:r w:rsidRPr="00D41765">
        <w:rPr>
          <w:sz w:val="22"/>
          <w:szCs w:val="22"/>
        </w:rPr>
        <w:t>.</w:t>
      </w:r>
    </w:p>
    <w:p w14:paraId="2A21F027" w14:textId="77777777" w:rsidR="00D24F44" w:rsidRPr="00D41765" w:rsidRDefault="00D24F44" w:rsidP="00F0697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41765">
        <w:rPr>
          <w:color w:val="auto"/>
          <w:sz w:val="22"/>
          <w:szCs w:val="22"/>
        </w:rPr>
        <w:t>Declaração de aprovação por parte da Direção da Escola</w:t>
      </w:r>
      <w:r w:rsidR="00A64898">
        <w:rPr>
          <w:color w:val="auto"/>
          <w:sz w:val="22"/>
          <w:szCs w:val="22"/>
        </w:rPr>
        <w:t xml:space="preserve"> / dos Serviços Centrais</w:t>
      </w:r>
      <w:r w:rsidR="005D7256">
        <w:rPr>
          <w:color w:val="auto"/>
          <w:sz w:val="22"/>
          <w:szCs w:val="22"/>
        </w:rPr>
        <w:t xml:space="preserve"> / dos SAS.</w:t>
      </w:r>
    </w:p>
    <w:p w14:paraId="7306D232" w14:textId="77777777" w:rsidR="00D41765" w:rsidRPr="00D41765" w:rsidRDefault="00D24F44" w:rsidP="00B62E4A">
      <w:pPr>
        <w:spacing w:before="100" w:beforeAutospacing="1" w:after="100" w:afterAutospacing="1"/>
        <w:jc w:val="both"/>
        <w:rPr>
          <w:sz w:val="22"/>
          <w:szCs w:val="22"/>
        </w:rPr>
      </w:pPr>
      <w:r w:rsidRPr="00D41765">
        <w:rPr>
          <w:sz w:val="22"/>
          <w:szCs w:val="22"/>
        </w:rPr>
        <w:t xml:space="preserve">As candidaturas deverão ser enviadas até ao </w:t>
      </w:r>
      <w:r w:rsidRPr="006441E1">
        <w:rPr>
          <w:sz w:val="22"/>
          <w:szCs w:val="22"/>
        </w:rPr>
        <w:t>dia</w:t>
      </w:r>
      <w:r w:rsidRPr="00D41765">
        <w:rPr>
          <w:b/>
          <w:sz w:val="22"/>
          <w:szCs w:val="22"/>
        </w:rPr>
        <w:t xml:space="preserve"> </w:t>
      </w:r>
      <w:r w:rsidR="00180CA8">
        <w:rPr>
          <w:b/>
          <w:color w:val="auto"/>
          <w:sz w:val="22"/>
          <w:szCs w:val="22"/>
        </w:rPr>
        <w:t>30</w:t>
      </w:r>
      <w:r w:rsidR="006441E1" w:rsidRPr="003C715C">
        <w:rPr>
          <w:b/>
          <w:color w:val="auto"/>
          <w:sz w:val="22"/>
          <w:szCs w:val="22"/>
        </w:rPr>
        <w:t xml:space="preserve"> de </w:t>
      </w:r>
      <w:r w:rsidR="003C715C">
        <w:rPr>
          <w:b/>
          <w:color w:val="auto"/>
          <w:sz w:val="22"/>
          <w:szCs w:val="22"/>
        </w:rPr>
        <w:t>j</w:t>
      </w:r>
      <w:r w:rsidR="00A64898">
        <w:rPr>
          <w:b/>
          <w:color w:val="auto"/>
          <w:sz w:val="22"/>
          <w:szCs w:val="22"/>
        </w:rPr>
        <w:t>unho</w:t>
      </w:r>
      <w:r w:rsidRPr="00D41765">
        <w:rPr>
          <w:color w:val="auto"/>
          <w:sz w:val="22"/>
          <w:szCs w:val="22"/>
        </w:rPr>
        <w:t xml:space="preserve"> pelo Gabinete responsável pelo Programa Erasmus+ da Escola, </w:t>
      </w:r>
      <w:r w:rsidRPr="00D41765">
        <w:rPr>
          <w:sz w:val="22"/>
          <w:szCs w:val="22"/>
        </w:rPr>
        <w:t>para</w:t>
      </w:r>
      <w:r w:rsidRPr="00D41765">
        <w:rPr>
          <w:color w:val="1F497D"/>
          <w:sz w:val="22"/>
          <w:szCs w:val="22"/>
        </w:rPr>
        <w:t xml:space="preserve"> </w:t>
      </w:r>
      <w:r w:rsidRPr="00D41765">
        <w:rPr>
          <w:color w:val="auto"/>
          <w:sz w:val="22"/>
          <w:szCs w:val="22"/>
        </w:rPr>
        <w:t xml:space="preserve">o Núcleo de Mobilidade da Reitoria </w:t>
      </w:r>
      <w:r w:rsidR="00D41765">
        <w:rPr>
          <w:color w:val="auto"/>
          <w:sz w:val="22"/>
          <w:szCs w:val="22"/>
        </w:rPr>
        <w:t>(</w:t>
      </w:r>
      <w:r w:rsidRPr="00D41765">
        <w:rPr>
          <w:sz w:val="22"/>
          <w:szCs w:val="22"/>
        </w:rPr>
        <w:t> </w:t>
      </w:r>
      <w:hyperlink r:id="rId14" w:history="1">
        <w:r w:rsidRPr="00D41765">
          <w:rPr>
            <w:rStyle w:val="Hyperlink"/>
            <w:sz w:val="22"/>
            <w:szCs w:val="22"/>
          </w:rPr>
          <w:t>erasmus@ulisboa.pt</w:t>
        </w:r>
      </w:hyperlink>
      <w:r w:rsidR="00D41765">
        <w:rPr>
          <w:color w:val="auto"/>
          <w:sz w:val="22"/>
          <w:szCs w:val="22"/>
        </w:rPr>
        <w:t>).</w:t>
      </w:r>
    </w:p>
    <w:p w14:paraId="67BAB3AF" w14:textId="77777777" w:rsidR="00031D28" w:rsidRPr="00D41765" w:rsidRDefault="00031D28" w:rsidP="00B62E4A">
      <w:p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 xml:space="preserve">Ao nível dos Serviços Centrais, as propostas selecionadas pelos </w:t>
      </w:r>
      <w:r w:rsidR="00F66E22" w:rsidRPr="00D41765">
        <w:rPr>
          <w:color w:val="auto"/>
          <w:sz w:val="22"/>
          <w:szCs w:val="22"/>
        </w:rPr>
        <w:t>s</w:t>
      </w:r>
      <w:r w:rsidRPr="00D41765">
        <w:rPr>
          <w:color w:val="auto"/>
          <w:sz w:val="22"/>
          <w:szCs w:val="22"/>
        </w:rPr>
        <w:t xml:space="preserve">uperiores </w:t>
      </w:r>
      <w:r w:rsidR="00F66E22" w:rsidRPr="00D41765">
        <w:rPr>
          <w:color w:val="auto"/>
          <w:sz w:val="22"/>
          <w:szCs w:val="22"/>
        </w:rPr>
        <w:t>h</w:t>
      </w:r>
      <w:r w:rsidRPr="00D41765">
        <w:rPr>
          <w:color w:val="auto"/>
          <w:sz w:val="22"/>
          <w:szCs w:val="22"/>
        </w:rPr>
        <w:t xml:space="preserve">ierárquicos de cada Departamento / Área, serão enviadas para o Núcleo de Mobilidade </w:t>
      </w:r>
      <w:r w:rsidR="00D41765">
        <w:rPr>
          <w:color w:val="auto"/>
          <w:sz w:val="22"/>
          <w:szCs w:val="22"/>
        </w:rPr>
        <w:t>(</w:t>
      </w:r>
      <w:r w:rsidRPr="00D41765">
        <w:rPr>
          <w:sz w:val="22"/>
          <w:szCs w:val="22"/>
        </w:rPr>
        <w:t> </w:t>
      </w:r>
      <w:hyperlink r:id="rId15" w:history="1">
        <w:r w:rsidRPr="00D41765">
          <w:rPr>
            <w:rStyle w:val="Hyperlink"/>
            <w:sz w:val="22"/>
            <w:szCs w:val="22"/>
          </w:rPr>
          <w:t>erasmus@ulisboa.pt</w:t>
        </w:r>
      </w:hyperlink>
      <w:r w:rsidR="00D41765">
        <w:rPr>
          <w:color w:val="auto"/>
          <w:sz w:val="22"/>
          <w:szCs w:val="22"/>
        </w:rPr>
        <w:t>).</w:t>
      </w:r>
    </w:p>
    <w:p w14:paraId="008C3398" w14:textId="77777777" w:rsidR="00661C75" w:rsidRPr="00D41765" w:rsidRDefault="00661C75" w:rsidP="00661C75">
      <w:p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 xml:space="preserve">Ao nível dos Serviços </w:t>
      </w:r>
      <w:r>
        <w:rPr>
          <w:color w:val="auto"/>
          <w:sz w:val="22"/>
          <w:szCs w:val="22"/>
        </w:rPr>
        <w:t>de Ação Social</w:t>
      </w:r>
      <w:r w:rsidRPr="00D4176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as propostas selecionadas pelo</w:t>
      </w:r>
      <w:r w:rsidRPr="00D4176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Administrador dos SAS</w:t>
      </w:r>
      <w:r w:rsidRPr="00D41765">
        <w:rPr>
          <w:color w:val="auto"/>
          <w:sz w:val="22"/>
          <w:szCs w:val="22"/>
        </w:rPr>
        <w:t xml:space="preserve"> serão enviadas para o Núcleo de Mobilidade </w:t>
      </w:r>
      <w:r>
        <w:rPr>
          <w:color w:val="auto"/>
          <w:sz w:val="22"/>
          <w:szCs w:val="22"/>
        </w:rPr>
        <w:t>(</w:t>
      </w:r>
      <w:r w:rsidRPr="00D41765">
        <w:rPr>
          <w:sz w:val="22"/>
          <w:szCs w:val="22"/>
        </w:rPr>
        <w:t> </w:t>
      </w:r>
      <w:hyperlink r:id="rId16" w:history="1">
        <w:r w:rsidRPr="00D41765">
          <w:rPr>
            <w:rStyle w:val="Hyperlink"/>
            <w:sz w:val="22"/>
            <w:szCs w:val="22"/>
          </w:rPr>
          <w:t>erasmus@ulisboa.pt</w:t>
        </w:r>
      </w:hyperlink>
      <w:r>
        <w:rPr>
          <w:color w:val="auto"/>
          <w:sz w:val="22"/>
          <w:szCs w:val="22"/>
        </w:rPr>
        <w:t>).</w:t>
      </w:r>
    </w:p>
    <w:p w14:paraId="1DA3FABB" w14:textId="77777777" w:rsidR="00D24F44" w:rsidRPr="005D7256" w:rsidRDefault="00D24F44" w:rsidP="005D7256">
      <w:pPr>
        <w:rPr>
          <w:color w:val="auto"/>
        </w:rPr>
      </w:pPr>
    </w:p>
    <w:p w14:paraId="36D6875E" w14:textId="77777777" w:rsidR="00D24F44" w:rsidRPr="006441E1" w:rsidRDefault="00D24F44" w:rsidP="001D19D7">
      <w:pPr>
        <w:rPr>
          <w:b/>
          <w:sz w:val="22"/>
          <w:szCs w:val="22"/>
        </w:rPr>
      </w:pPr>
      <w:r w:rsidRPr="006441E1">
        <w:rPr>
          <w:b/>
          <w:sz w:val="22"/>
          <w:szCs w:val="22"/>
        </w:rPr>
        <w:t>Processo de Seleção:</w:t>
      </w:r>
    </w:p>
    <w:p w14:paraId="5F13DF4D" w14:textId="77777777" w:rsidR="00FA7DC3" w:rsidRPr="00D41765" w:rsidRDefault="00031D28" w:rsidP="00B62E4A">
      <w:pPr>
        <w:jc w:val="both"/>
        <w:rPr>
          <w:color w:val="1F497D"/>
          <w:sz w:val="22"/>
          <w:szCs w:val="22"/>
        </w:rPr>
      </w:pPr>
      <w:r w:rsidRPr="00D41765">
        <w:rPr>
          <w:sz w:val="22"/>
          <w:szCs w:val="22"/>
        </w:rPr>
        <w:t xml:space="preserve">A </w:t>
      </w:r>
      <w:r w:rsidR="00FA7DC3" w:rsidRPr="00D41765">
        <w:rPr>
          <w:sz w:val="22"/>
          <w:szCs w:val="22"/>
        </w:rPr>
        <w:t xml:space="preserve">Reitoria </w:t>
      </w:r>
      <w:r w:rsidRPr="00D41765">
        <w:rPr>
          <w:sz w:val="22"/>
          <w:szCs w:val="22"/>
        </w:rPr>
        <w:t>irá</w:t>
      </w:r>
      <w:r w:rsidR="00FA7DC3" w:rsidRPr="00D41765">
        <w:rPr>
          <w:sz w:val="22"/>
          <w:szCs w:val="22"/>
        </w:rPr>
        <w:t xml:space="preserve"> considerar a distribuição das bo</w:t>
      </w:r>
      <w:r w:rsidR="005D7256">
        <w:rPr>
          <w:sz w:val="22"/>
          <w:szCs w:val="22"/>
        </w:rPr>
        <w:t xml:space="preserve">lsas disponíveis, </w:t>
      </w:r>
      <w:r w:rsidR="00FA7DC3" w:rsidRPr="00D41765">
        <w:rPr>
          <w:sz w:val="22"/>
          <w:szCs w:val="22"/>
        </w:rPr>
        <w:t>tendo em conta todas as propostas apresentadas.</w:t>
      </w:r>
    </w:p>
    <w:p w14:paraId="186A6D55" w14:textId="77777777" w:rsidR="00FA7DC3" w:rsidRPr="00D41765" w:rsidRDefault="00FA7DC3" w:rsidP="005D7256">
      <w:pPr>
        <w:keepNext/>
        <w:jc w:val="both"/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lastRenderedPageBreak/>
        <w:t xml:space="preserve">O conjunto de propostas recebidas será levado à apreciação da Sra. Administradora e do Sr. Vice-Reitor com o pelouro </w:t>
      </w:r>
      <w:r w:rsidR="005D7256">
        <w:rPr>
          <w:color w:val="auto"/>
          <w:sz w:val="22"/>
          <w:szCs w:val="22"/>
        </w:rPr>
        <w:t>do Programa Erasmus+</w:t>
      </w:r>
      <w:r w:rsidRPr="00D41765">
        <w:rPr>
          <w:color w:val="auto"/>
          <w:sz w:val="22"/>
          <w:szCs w:val="22"/>
        </w:rPr>
        <w:t xml:space="preserve"> que as selecionarão de acordo com os seguintes critérios:</w:t>
      </w:r>
    </w:p>
    <w:p w14:paraId="45F11FFC" w14:textId="77777777" w:rsidR="00031D28" w:rsidRPr="00D41765" w:rsidRDefault="00031D28" w:rsidP="00FA7DC3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>P</w:t>
      </w:r>
      <w:r w:rsidR="00FA7DC3" w:rsidRPr="00D41765">
        <w:rPr>
          <w:color w:val="auto"/>
          <w:sz w:val="22"/>
          <w:szCs w:val="22"/>
        </w:rPr>
        <w:t>ertinência da proposta para o serviço / instituição;</w:t>
      </w:r>
    </w:p>
    <w:p w14:paraId="4E64D2AC" w14:textId="77777777" w:rsidR="00077601" w:rsidRDefault="00031D28" w:rsidP="00B62E4A">
      <w:pPr>
        <w:pStyle w:val="ListParagraph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>P</w:t>
      </w:r>
      <w:r w:rsidR="00FA7DC3" w:rsidRPr="00D41765">
        <w:rPr>
          <w:color w:val="auto"/>
          <w:sz w:val="22"/>
          <w:szCs w:val="22"/>
        </w:rPr>
        <w:t>r</w:t>
      </w:r>
      <w:r w:rsidRPr="00D41765">
        <w:rPr>
          <w:color w:val="auto"/>
          <w:sz w:val="22"/>
          <w:szCs w:val="22"/>
        </w:rPr>
        <w:t>ioridade</w:t>
      </w:r>
      <w:r w:rsidR="00FA7DC3" w:rsidRPr="00D41765">
        <w:rPr>
          <w:color w:val="auto"/>
          <w:sz w:val="22"/>
          <w:szCs w:val="22"/>
        </w:rPr>
        <w:t xml:space="preserve"> </w:t>
      </w:r>
      <w:r w:rsidRPr="00D41765">
        <w:rPr>
          <w:color w:val="auto"/>
          <w:sz w:val="22"/>
          <w:szCs w:val="22"/>
        </w:rPr>
        <w:t>a</w:t>
      </w:r>
      <w:r w:rsidR="00FA7DC3" w:rsidRPr="00D41765">
        <w:rPr>
          <w:color w:val="auto"/>
          <w:sz w:val="22"/>
          <w:szCs w:val="22"/>
        </w:rPr>
        <w:t xml:space="preserve"> </w:t>
      </w:r>
      <w:r w:rsidRPr="00D41765">
        <w:rPr>
          <w:color w:val="auto"/>
          <w:sz w:val="22"/>
          <w:szCs w:val="22"/>
        </w:rPr>
        <w:t>candidatos</w:t>
      </w:r>
      <w:r w:rsidR="00FA7DC3" w:rsidRPr="00D41765">
        <w:rPr>
          <w:color w:val="auto"/>
          <w:sz w:val="22"/>
          <w:szCs w:val="22"/>
        </w:rPr>
        <w:t xml:space="preserve"> que não tenha</w:t>
      </w:r>
      <w:r w:rsidRPr="00D41765">
        <w:rPr>
          <w:color w:val="auto"/>
          <w:sz w:val="22"/>
          <w:szCs w:val="22"/>
        </w:rPr>
        <w:t>m</w:t>
      </w:r>
      <w:r w:rsidR="00FA7DC3" w:rsidRPr="00D41765">
        <w:rPr>
          <w:color w:val="auto"/>
          <w:sz w:val="22"/>
          <w:szCs w:val="22"/>
        </w:rPr>
        <w:t xml:space="preserve"> ainda participado no Programa Erasmus+, ação mobilidade para formação</w:t>
      </w:r>
      <w:r w:rsidR="00F71751">
        <w:rPr>
          <w:color w:val="auto"/>
          <w:sz w:val="22"/>
          <w:szCs w:val="22"/>
        </w:rPr>
        <w:t>;</w:t>
      </w:r>
    </w:p>
    <w:p w14:paraId="0CF2FF4F" w14:textId="77777777" w:rsidR="00FA7DC3" w:rsidRPr="00077601" w:rsidRDefault="00077601" w:rsidP="00077601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>Equilíbrio entre o número d</w:t>
      </w:r>
      <w:r w:rsidR="005D7256">
        <w:rPr>
          <w:color w:val="auto"/>
          <w:sz w:val="22"/>
          <w:szCs w:val="22"/>
        </w:rPr>
        <w:t>e propostas de cada Escola,</w:t>
      </w:r>
      <w:r>
        <w:rPr>
          <w:color w:val="auto"/>
          <w:sz w:val="22"/>
          <w:szCs w:val="22"/>
        </w:rPr>
        <w:t xml:space="preserve"> dos Serviços Centrais</w:t>
      </w:r>
      <w:r w:rsidR="005D7256">
        <w:rPr>
          <w:color w:val="auto"/>
          <w:sz w:val="22"/>
          <w:szCs w:val="22"/>
        </w:rPr>
        <w:t xml:space="preserve"> e dos SAS.</w:t>
      </w:r>
    </w:p>
    <w:p w14:paraId="61391F9C" w14:textId="77777777" w:rsidR="003C715C" w:rsidRDefault="003C715C" w:rsidP="00FA7DC3">
      <w:pPr>
        <w:rPr>
          <w:color w:val="auto"/>
        </w:rPr>
      </w:pPr>
    </w:p>
    <w:p w14:paraId="677EA06D" w14:textId="77777777" w:rsidR="000D16A1" w:rsidRPr="006441E1" w:rsidRDefault="000D16A1" w:rsidP="00FA7DC3">
      <w:pPr>
        <w:rPr>
          <w:b/>
          <w:color w:val="auto"/>
          <w:sz w:val="22"/>
          <w:szCs w:val="22"/>
        </w:rPr>
      </w:pPr>
      <w:r w:rsidRPr="006441E1">
        <w:rPr>
          <w:b/>
          <w:color w:val="auto"/>
          <w:sz w:val="22"/>
          <w:szCs w:val="22"/>
        </w:rPr>
        <w:t>Resultados:</w:t>
      </w:r>
    </w:p>
    <w:p w14:paraId="7FDD5FFE" w14:textId="77777777" w:rsidR="000D16A1" w:rsidRDefault="00FA7DC3" w:rsidP="00B62E4A">
      <w:pPr>
        <w:jc w:val="both"/>
        <w:rPr>
          <w:color w:val="auto"/>
          <w:sz w:val="22"/>
          <w:szCs w:val="22"/>
        </w:rPr>
      </w:pPr>
      <w:r w:rsidRPr="00D41765">
        <w:rPr>
          <w:color w:val="auto"/>
          <w:sz w:val="22"/>
          <w:szCs w:val="22"/>
        </w:rPr>
        <w:t>Os resultados</w:t>
      </w:r>
      <w:r w:rsidR="008310DD" w:rsidRPr="00D41765">
        <w:rPr>
          <w:color w:val="auto"/>
          <w:sz w:val="22"/>
          <w:szCs w:val="22"/>
        </w:rPr>
        <w:t xml:space="preserve"> da seleção</w:t>
      </w:r>
      <w:r w:rsidRPr="00D41765">
        <w:rPr>
          <w:color w:val="auto"/>
          <w:sz w:val="22"/>
          <w:szCs w:val="22"/>
        </w:rPr>
        <w:t xml:space="preserve"> serão apresentados até ao dia </w:t>
      </w:r>
      <w:r w:rsidR="00B1454F">
        <w:rPr>
          <w:color w:val="auto"/>
          <w:sz w:val="22"/>
          <w:szCs w:val="22"/>
        </w:rPr>
        <w:t>13</w:t>
      </w:r>
      <w:r w:rsidRPr="003C715C">
        <w:rPr>
          <w:color w:val="auto"/>
          <w:sz w:val="22"/>
          <w:szCs w:val="22"/>
        </w:rPr>
        <w:t xml:space="preserve"> de </w:t>
      </w:r>
      <w:r w:rsidR="00A64898">
        <w:rPr>
          <w:color w:val="auto"/>
          <w:sz w:val="22"/>
          <w:szCs w:val="22"/>
        </w:rPr>
        <w:t>julh</w:t>
      </w:r>
      <w:r w:rsidR="00D41765" w:rsidRPr="003C715C">
        <w:rPr>
          <w:color w:val="auto"/>
          <w:sz w:val="22"/>
          <w:szCs w:val="22"/>
        </w:rPr>
        <w:t>o de 201</w:t>
      </w:r>
      <w:r w:rsidR="00D94B7C">
        <w:rPr>
          <w:color w:val="auto"/>
          <w:sz w:val="22"/>
          <w:szCs w:val="22"/>
        </w:rPr>
        <w:t>8</w:t>
      </w:r>
      <w:r w:rsidR="000D16A1" w:rsidRPr="003C715C">
        <w:rPr>
          <w:color w:val="auto"/>
          <w:sz w:val="22"/>
          <w:szCs w:val="22"/>
        </w:rPr>
        <w:t>,</w:t>
      </w:r>
      <w:r w:rsidR="000D16A1" w:rsidRPr="00D41765">
        <w:rPr>
          <w:color w:val="auto"/>
          <w:sz w:val="22"/>
          <w:szCs w:val="22"/>
        </w:rPr>
        <w:t xml:space="preserve"> através de e-mail enviado para o Gabinete responsável pelo Programa Erasmus+ da Escola </w:t>
      </w:r>
      <w:r w:rsidR="00C32C04" w:rsidRPr="00C32C04">
        <w:rPr>
          <w:color w:val="auto"/>
          <w:sz w:val="22"/>
          <w:szCs w:val="22"/>
        </w:rPr>
        <w:t xml:space="preserve">ou para o respetivo serviço (no caso </w:t>
      </w:r>
      <w:r w:rsidR="00077601">
        <w:rPr>
          <w:color w:val="auto"/>
          <w:sz w:val="22"/>
          <w:szCs w:val="22"/>
        </w:rPr>
        <w:t>dos Serviços Centrais</w:t>
      </w:r>
      <w:r w:rsidR="005D7256">
        <w:rPr>
          <w:color w:val="auto"/>
          <w:sz w:val="22"/>
          <w:szCs w:val="22"/>
        </w:rPr>
        <w:t xml:space="preserve"> e SAS</w:t>
      </w:r>
      <w:r w:rsidR="00C32C04" w:rsidRPr="00C32C04">
        <w:rPr>
          <w:color w:val="auto"/>
          <w:sz w:val="22"/>
          <w:szCs w:val="22"/>
        </w:rPr>
        <w:t>) e publicado no site da ULisboa.</w:t>
      </w:r>
    </w:p>
    <w:p w14:paraId="6AB890C7" w14:textId="77777777" w:rsidR="00B471FA" w:rsidRDefault="00B471FA" w:rsidP="00B62E4A">
      <w:pPr>
        <w:jc w:val="both"/>
        <w:rPr>
          <w:color w:val="auto"/>
          <w:sz w:val="22"/>
          <w:szCs w:val="22"/>
        </w:rPr>
      </w:pPr>
    </w:p>
    <w:p w14:paraId="459705B9" w14:textId="77777777" w:rsidR="00B471FA" w:rsidRPr="00B471FA" w:rsidRDefault="00B471FA" w:rsidP="00B471FA">
      <w:pPr>
        <w:rPr>
          <w:b/>
          <w:color w:val="auto"/>
          <w:sz w:val="22"/>
          <w:szCs w:val="22"/>
        </w:rPr>
      </w:pPr>
      <w:r w:rsidRPr="00B471FA">
        <w:rPr>
          <w:b/>
          <w:color w:val="auto"/>
          <w:sz w:val="22"/>
          <w:szCs w:val="22"/>
        </w:rPr>
        <w:t>Processo de contratualização e de pagamento da bolsa:</w:t>
      </w:r>
    </w:p>
    <w:p w14:paraId="4DC36578" w14:textId="77777777" w:rsidR="00B471FA" w:rsidRDefault="00B471FA" w:rsidP="00B62E4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Após aprovada a mobilidade, e na posse de todos os documentos necessários, o Núcleo de Mobilidade emitirá os contratos para cada participante, tendo em conta as datas previstas da mobilidade.</w:t>
      </w:r>
    </w:p>
    <w:p w14:paraId="5C188F93" w14:textId="77777777" w:rsidR="00B471FA" w:rsidRDefault="00B471FA" w:rsidP="00B62E4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Após assinatura dos contratos pela Reitoria e pelo participante, </w:t>
      </w:r>
      <w:r w:rsidRPr="00B471FA">
        <w:rPr>
          <w:color w:val="auto"/>
          <w:sz w:val="22"/>
          <w:szCs w:val="22"/>
        </w:rPr>
        <w:t>o Núcleo de Mobilidade</w:t>
      </w:r>
      <w:r>
        <w:rPr>
          <w:color w:val="auto"/>
          <w:sz w:val="22"/>
          <w:szCs w:val="22"/>
        </w:rPr>
        <w:t xml:space="preserve"> solicitará a transferência da bolsa. O pagamento poderá demorar entre 2 a 4 semanas.</w:t>
      </w:r>
    </w:p>
    <w:p w14:paraId="3548D238" w14:textId="77777777" w:rsidR="00B471FA" w:rsidRDefault="00B471FA" w:rsidP="00B62E4A">
      <w:pPr>
        <w:jc w:val="both"/>
        <w:rPr>
          <w:color w:val="auto"/>
          <w:sz w:val="22"/>
          <w:szCs w:val="22"/>
        </w:rPr>
      </w:pPr>
    </w:p>
    <w:p w14:paraId="45B583B0" w14:textId="77777777" w:rsidR="00B471FA" w:rsidRDefault="00B471FA" w:rsidP="00B62E4A">
      <w:pPr>
        <w:jc w:val="both"/>
        <w:rPr>
          <w:color w:val="auto"/>
          <w:sz w:val="22"/>
          <w:szCs w:val="22"/>
        </w:rPr>
      </w:pPr>
      <w:r w:rsidRPr="00B471FA">
        <w:rPr>
          <w:b/>
          <w:color w:val="auto"/>
          <w:sz w:val="22"/>
          <w:szCs w:val="22"/>
        </w:rPr>
        <w:t>Após a mobilidade:</w:t>
      </w:r>
    </w:p>
    <w:p w14:paraId="5F89CC81" w14:textId="77777777" w:rsidR="00B471FA" w:rsidRDefault="004B4EBC" w:rsidP="00B62E4A">
      <w:pPr>
        <w:jc w:val="both"/>
        <w:rPr>
          <w:color w:val="auto"/>
          <w:sz w:val="22"/>
          <w:szCs w:val="22"/>
        </w:rPr>
      </w:pPr>
      <w:r w:rsidRPr="004B4EBC">
        <w:rPr>
          <w:color w:val="auto"/>
          <w:sz w:val="22"/>
          <w:szCs w:val="22"/>
        </w:rPr>
        <w:t xml:space="preserve">No final do período de mobilidade </w:t>
      </w:r>
      <w:r w:rsidR="00B471FA">
        <w:rPr>
          <w:color w:val="auto"/>
          <w:sz w:val="22"/>
          <w:szCs w:val="22"/>
        </w:rPr>
        <w:t xml:space="preserve">os participantes deverão entregar a </w:t>
      </w:r>
      <w:hyperlink r:id="rId17" w:history="1">
        <w:r w:rsidR="00B471FA" w:rsidRPr="00B471FA">
          <w:rPr>
            <w:rStyle w:val="Hyperlink"/>
            <w:sz w:val="22"/>
            <w:szCs w:val="22"/>
          </w:rPr>
          <w:t>Declaração de Estada</w:t>
        </w:r>
      </w:hyperlink>
      <w:r w:rsidR="00B471FA">
        <w:rPr>
          <w:color w:val="auto"/>
          <w:sz w:val="22"/>
          <w:szCs w:val="22"/>
        </w:rPr>
        <w:t xml:space="preserve">, </w:t>
      </w:r>
      <w:r w:rsidR="005D7256">
        <w:rPr>
          <w:color w:val="auto"/>
          <w:sz w:val="22"/>
          <w:szCs w:val="22"/>
        </w:rPr>
        <w:t>emitida</w:t>
      </w:r>
      <w:r w:rsidRPr="004B4EBC">
        <w:rPr>
          <w:color w:val="auto"/>
          <w:sz w:val="22"/>
          <w:szCs w:val="22"/>
        </w:rPr>
        <w:t xml:space="preserve"> pela instituição de acolhimento</w:t>
      </w:r>
      <w:r w:rsidR="00B471F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 confirmar</w:t>
      </w:r>
      <w:r w:rsidR="00B471FA">
        <w:rPr>
          <w:color w:val="auto"/>
          <w:sz w:val="22"/>
          <w:szCs w:val="22"/>
        </w:rPr>
        <w:t xml:space="preserve"> as data</w:t>
      </w:r>
      <w:r w:rsidR="005D7256">
        <w:rPr>
          <w:color w:val="auto"/>
          <w:sz w:val="22"/>
          <w:szCs w:val="22"/>
        </w:rPr>
        <w:t xml:space="preserve">s entre as quais a </w:t>
      </w:r>
      <w:proofErr w:type="spellStart"/>
      <w:r w:rsidR="005D7256">
        <w:rPr>
          <w:color w:val="auto"/>
          <w:sz w:val="22"/>
          <w:szCs w:val="22"/>
        </w:rPr>
        <w:t>actividade</w:t>
      </w:r>
      <w:proofErr w:type="spellEnd"/>
      <w:r w:rsidR="00B471FA">
        <w:rPr>
          <w:color w:val="auto"/>
          <w:sz w:val="22"/>
          <w:szCs w:val="22"/>
        </w:rPr>
        <w:t xml:space="preserve"> se realizou.</w:t>
      </w:r>
    </w:p>
    <w:p w14:paraId="44775B56" w14:textId="77777777" w:rsidR="00B471FA" w:rsidRDefault="00B471FA" w:rsidP="00B62E4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 participantes deverão também entregar cópia do recibo de pagamento da viagem, ou dos bilhetes electrónicos.</w:t>
      </w:r>
    </w:p>
    <w:p w14:paraId="31F7D05A" w14:textId="77777777" w:rsidR="00B471FA" w:rsidRPr="00D41765" w:rsidRDefault="004B4EBC" w:rsidP="00B62E4A">
      <w:pPr>
        <w:jc w:val="both"/>
        <w:rPr>
          <w:color w:val="auto"/>
          <w:sz w:val="22"/>
          <w:szCs w:val="22"/>
        </w:rPr>
      </w:pPr>
      <w:r w:rsidRPr="004B4EBC">
        <w:rPr>
          <w:color w:val="auto"/>
          <w:sz w:val="22"/>
          <w:szCs w:val="22"/>
        </w:rPr>
        <w:t>Será ainda necessário os participantes submeterem o Relatório Final Erasmus (online), recebido através de e-mail.</w:t>
      </w:r>
    </w:p>
    <w:p w14:paraId="0B00EBEF" w14:textId="77777777" w:rsidR="00B471FA" w:rsidRDefault="00B471FA">
      <w:pPr>
        <w:rPr>
          <w:b/>
        </w:rPr>
      </w:pPr>
    </w:p>
    <w:p w14:paraId="3D67DE21" w14:textId="77777777" w:rsidR="001D19D7" w:rsidRDefault="001D19D7">
      <w:pPr>
        <w:rPr>
          <w:b/>
        </w:rPr>
      </w:pPr>
      <w:r w:rsidRPr="001D19D7">
        <w:rPr>
          <w:b/>
        </w:rPr>
        <w:t>Documentos de Suporte:</w:t>
      </w:r>
      <w:r w:rsidR="008310DD" w:rsidRPr="008310DD">
        <w:rPr>
          <w:color w:val="auto"/>
        </w:rPr>
        <w:t xml:space="preserve"> </w:t>
      </w:r>
    </w:p>
    <w:p w14:paraId="54C17B91" w14:textId="77777777" w:rsidR="001D19D7" w:rsidRPr="00D41765" w:rsidRDefault="00017B35">
      <w:pPr>
        <w:rPr>
          <w:sz w:val="22"/>
          <w:szCs w:val="22"/>
        </w:rPr>
      </w:pPr>
      <w:hyperlink r:id="rId18" w:history="1">
        <w:r w:rsidR="001D19D7" w:rsidRPr="00D41765">
          <w:rPr>
            <w:rStyle w:val="Hyperlink"/>
            <w:sz w:val="22"/>
            <w:szCs w:val="22"/>
          </w:rPr>
          <w:t>Regulamento Erasmus</w:t>
        </w:r>
      </w:hyperlink>
    </w:p>
    <w:p w14:paraId="1DAE52E1" w14:textId="77777777" w:rsidR="003305C1" w:rsidRDefault="00017B35">
      <w:pPr>
        <w:rPr>
          <w:sz w:val="22"/>
          <w:szCs w:val="22"/>
        </w:rPr>
      </w:pPr>
      <w:hyperlink r:id="rId19" w:history="1">
        <w:r w:rsidR="003305C1" w:rsidRPr="009D24A6">
          <w:rPr>
            <w:rStyle w:val="Hyperlink"/>
            <w:sz w:val="22"/>
            <w:szCs w:val="22"/>
          </w:rPr>
          <w:t>Ficha de Pessoal</w:t>
        </w:r>
      </w:hyperlink>
    </w:p>
    <w:p w14:paraId="43AE361D" w14:textId="77777777" w:rsidR="003C715C" w:rsidRDefault="00017B35">
      <w:pPr>
        <w:rPr>
          <w:rStyle w:val="Hyperlink"/>
          <w:sz w:val="22"/>
          <w:szCs w:val="22"/>
        </w:rPr>
      </w:pPr>
      <w:hyperlink r:id="rId20" w:history="1">
        <w:r w:rsidR="003C715C" w:rsidRPr="009D24A6">
          <w:rPr>
            <w:rStyle w:val="Hyperlink"/>
            <w:sz w:val="22"/>
            <w:szCs w:val="22"/>
          </w:rPr>
          <w:t>Programa de trabalho</w:t>
        </w:r>
      </w:hyperlink>
    </w:p>
    <w:p w14:paraId="0D5ECF1B" w14:textId="77777777" w:rsidR="00451D96" w:rsidRDefault="00017B35">
      <w:pPr>
        <w:rPr>
          <w:sz w:val="22"/>
          <w:szCs w:val="22"/>
        </w:rPr>
      </w:pPr>
      <w:hyperlink r:id="rId21" w:history="1">
        <w:r w:rsidR="00451D96" w:rsidRPr="00B471FA">
          <w:rPr>
            <w:rStyle w:val="Hyperlink"/>
            <w:sz w:val="22"/>
            <w:szCs w:val="22"/>
          </w:rPr>
          <w:t>Declaração de Estada</w:t>
        </w:r>
      </w:hyperlink>
    </w:p>
    <w:p w14:paraId="093BE6C0" w14:textId="77777777" w:rsidR="00F06977" w:rsidRPr="00D41765" w:rsidRDefault="00017B35">
      <w:pPr>
        <w:rPr>
          <w:sz w:val="22"/>
          <w:szCs w:val="22"/>
        </w:rPr>
      </w:pPr>
      <w:hyperlink r:id="rId22" w:history="1">
        <w:r w:rsidR="003C715C" w:rsidRPr="003C715C">
          <w:rPr>
            <w:rStyle w:val="Hyperlink"/>
            <w:sz w:val="22"/>
            <w:szCs w:val="22"/>
          </w:rPr>
          <w:t>Tabela de Bolsas</w:t>
        </w:r>
      </w:hyperlink>
    </w:p>
    <w:p w14:paraId="5A10001B" w14:textId="77777777" w:rsidR="001D19D7" w:rsidRPr="00D41765" w:rsidRDefault="00017B35">
      <w:pPr>
        <w:rPr>
          <w:sz w:val="22"/>
          <w:szCs w:val="22"/>
        </w:rPr>
      </w:pPr>
      <w:hyperlink r:id="rId23" w:history="1">
        <w:r w:rsidR="001D19D7" w:rsidRPr="003C715C">
          <w:rPr>
            <w:rStyle w:val="Hyperlink"/>
            <w:sz w:val="22"/>
            <w:szCs w:val="22"/>
          </w:rPr>
          <w:t>Modelo de Contrato</w:t>
        </w:r>
        <w:r w:rsidR="00055B1F" w:rsidRPr="003C715C">
          <w:rPr>
            <w:rStyle w:val="Hyperlink"/>
            <w:sz w:val="22"/>
            <w:szCs w:val="22"/>
          </w:rPr>
          <w:t xml:space="preserve"> Erasmus</w:t>
        </w:r>
      </w:hyperlink>
    </w:p>
    <w:p w14:paraId="32E0FA07" w14:textId="77777777" w:rsidR="001D19D7" w:rsidRDefault="001D19D7"/>
    <w:p w14:paraId="7BE4BFCC" w14:textId="77777777" w:rsidR="001D19D7" w:rsidRPr="00BE047D" w:rsidRDefault="001D19D7">
      <w:pPr>
        <w:rPr>
          <w:b/>
        </w:rPr>
      </w:pPr>
      <w:r w:rsidRPr="00BE047D">
        <w:rPr>
          <w:b/>
        </w:rPr>
        <w:t>Informação adicional:</w:t>
      </w:r>
    </w:p>
    <w:p w14:paraId="119EEC79" w14:textId="77777777" w:rsidR="00BE047D" w:rsidRDefault="00017B35" w:rsidP="00B62E4A">
      <w:pPr>
        <w:jc w:val="both"/>
        <w:rPr>
          <w:sz w:val="22"/>
          <w:szCs w:val="22"/>
        </w:rPr>
      </w:pPr>
      <w:hyperlink r:id="rId24" w:history="1">
        <w:r w:rsidR="003C715C" w:rsidRPr="00A57391">
          <w:rPr>
            <w:rStyle w:val="Hyperlink"/>
            <w:sz w:val="22"/>
            <w:szCs w:val="22"/>
          </w:rPr>
          <w:t>https://www.ulisboa.pt/info/pessoal-tecnico-e-administrativo</w:t>
        </w:r>
      </w:hyperlink>
    </w:p>
    <w:p w14:paraId="18E29F13" w14:textId="77777777" w:rsidR="00BE047D" w:rsidRDefault="00BE047D" w:rsidP="00B62E4A">
      <w:pPr>
        <w:jc w:val="both"/>
      </w:pPr>
    </w:p>
    <w:p w14:paraId="48FD4975" w14:textId="77777777" w:rsidR="00DA63F2" w:rsidRPr="00D41765" w:rsidRDefault="00DA63F2" w:rsidP="00B62E4A">
      <w:pPr>
        <w:jc w:val="both"/>
        <w:rPr>
          <w:sz w:val="22"/>
          <w:szCs w:val="22"/>
        </w:rPr>
      </w:pPr>
      <w:r w:rsidRPr="00D41765">
        <w:rPr>
          <w:sz w:val="22"/>
          <w:szCs w:val="22"/>
        </w:rPr>
        <w:t xml:space="preserve">Qualquer alteração à duração da mobilidade / instituição de acolhimento, em relação ao </w:t>
      </w:r>
      <w:r w:rsidR="00B62E4A" w:rsidRPr="00D41765">
        <w:rPr>
          <w:sz w:val="22"/>
          <w:szCs w:val="22"/>
        </w:rPr>
        <w:t xml:space="preserve">período que for </w:t>
      </w:r>
      <w:r w:rsidRPr="00D41765">
        <w:rPr>
          <w:sz w:val="22"/>
          <w:szCs w:val="22"/>
        </w:rPr>
        <w:t>inicialmente contratado, poderá afetar o valor da bolsa.</w:t>
      </w:r>
    </w:p>
    <w:p w14:paraId="37F7F821" w14:textId="77777777" w:rsidR="0085346F" w:rsidRPr="00D41765" w:rsidRDefault="0085346F" w:rsidP="00B62E4A">
      <w:pPr>
        <w:jc w:val="both"/>
        <w:rPr>
          <w:sz w:val="22"/>
          <w:szCs w:val="22"/>
        </w:rPr>
      </w:pPr>
    </w:p>
    <w:p w14:paraId="3EF6CFAC" w14:textId="77777777" w:rsidR="00017B35" w:rsidRDefault="0085346F" w:rsidP="00B62E4A">
      <w:pPr>
        <w:jc w:val="both"/>
        <w:rPr>
          <w:sz w:val="22"/>
          <w:szCs w:val="22"/>
        </w:rPr>
      </w:pPr>
      <w:r w:rsidRPr="00D41765">
        <w:rPr>
          <w:sz w:val="22"/>
          <w:szCs w:val="22"/>
        </w:rPr>
        <w:t>Os participantes com Necessidades Especiais poderão concorrer a uma bolsa suplementar Erasmus, para cobrir os custos adicionais diretamente relacionados com a sua participação nas atividades de mobilidade</w:t>
      </w:r>
      <w:r w:rsidR="002C637D">
        <w:rPr>
          <w:sz w:val="22"/>
          <w:szCs w:val="22"/>
        </w:rPr>
        <w:t xml:space="preserve">: </w:t>
      </w:r>
    </w:p>
    <w:p w14:paraId="1D89D07B" w14:textId="77777777" w:rsidR="00A64898" w:rsidRPr="00D41765" w:rsidRDefault="00017B35" w:rsidP="00B62E4A">
      <w:pPr>
        <w:jc w:val="both"/>
        <w:rPr>
          <w:sz w:val="22"/>
          <w:szCs w:val="22"/>
        </w:rPr>
      </w:pPr>
      <w:hyperlink r:id="rId25" w:history="1">
        <w:r w:rsidR="002C637D" w:rsidRPr="00A57391">
          <w:rPr>
            <w:rStyle w:val="Hyperlink"/>
            <w:sz w:val="22"/>
            <w:szCs w:val="22"/>
          </w:rPr>
          <w:t>https://www.ulisboa.pt/inf</w:t>
        </w:r>
        <w:bookmarkStart w:id="0" w:name="_GoBack"/>
        <w:bookmarkEnd w:id="0"/>
        <w:r w:rsidR="002C637D" w:rsidRPr="00A57391">
          <w:rPr>
            <w:rStyle w:val="Hyperlink"/>
            <w:sz w:val="22"/>
            <w:szCs w:val="22"/>
          </w:rPr>
          <w:t>o/participantes-com-necessidades-especiais</w:t>
        </w:r>
      </w:hyperlink>
      <w:r w:rsidR="002C637D">
        <w:rPr>
          <w:sz w:val="22"/>
          <w:szCs w:val="22"/>
        </w:rPr>
        <w:t xml:space="preserve"> </w:t>
      </w:r>
      <w:r w:rsidR="0085346F" w:rsidRPr="00D41765">
        <w:rPr>
          <w:sz w:val="22"/>
          <w:szCs w:val="22"/>
        </w:rPr>
        <w:t> </w:t>
      </w:r>
    </w:p>
    <w:sectPr w:rsidR="00A64898" w:rsidRPr="00D41765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7224" w14:textId="77777777" w:rsidR="00FE06AC" w:rsidRDefault="00FE06AC" w:rsidP="00AE2055">
      <w:r>
        <w:separator/>
      </w:r>
    </w:p>
  </w:endnote>
  <w:endnote w:type="continuationSeparator" w:id="0">
    <w:p w14:paraId="1AB2C54B" w14:textId="77777777" w:rsidR="00FE06AC" w:rsidRDefault="00FE06AC" w:rsidP="00A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8E45" w14:textId="77777777" w:rsidR="004763C9" w:rsidRPr="004763C9" w:rsidRDefault="004763C9" w:rsidP="004763C9">
    <w:pPr>
      <w:pStyle w:val="Footer"/>
      <w:tabs>
        <w:tab w:val="clear" w:pos="4252"/>
        <w:tab w:val="clear" w:pos="8504"/>
        <w:tab w:val="left" w:pos="1348"/>
      </w:tabs>
      <w:rPr>
        <w:sz w:val="16"/>
        <w:szCs w:val="16"/>
      </w:rPr>
    </w:pPr>
    <w:r w:rsidRPr="004763C9">
      <w:rPr>
        <w:sz w:val="16"/>
        <w:szCs w:val="16"/>
      </w:rPr>
      <w:t>DREI/NM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9E66" w14:textId="77777777" w:rsidR="00FE06AC" w:rsidRDefault="00FE06AC" w:rsidP="00AE2055">
      <w:r>
        <w:separator/>
      </w:r>
    </w:p>
  </w:footnote>
  <w:footnote w:type="continuationSeparator" w:id="0">
    <w:p w14:paraId="1EA17524" w14:textId="77777777" w:rsidR="00FE06AC" w:rsidRDefault="00FE06AC" w:rsidP="00AE2055">
      <w:r>
        <w:continuationSeparator/>
      </w:r>
    </w:p>
  </w:footnote>
  <w:footnote w:id="1">
    <w:p w14:paraId="32F018AA" w14:textId="77777777" w:rsidR="005D7256" w:rsidRPr="005D7256" w:rsidRDefault="005D7256" w:rsidP="005D7256">
      <w:pPr>
        <w:pStyle w:val="FootnoteText"/>
        <w:ind w:right="-427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5D7256">
        <w:rPr>
          <w:sz w:val="18"/>
          <w:szCs w:val="18"/>
          <w:lang w:val="pt-BR"/>
        </w:rPr>
        <w:t>Este número poderá ser aumentado caso se verifique disponibilidade de verbas por não execução noutros tipos de bolsas.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DFE"/>
    <w:multiLevelType w:val="hybridMultilevel"/>
    <w:tmpl w:val="FDFEA5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29E"/>
    <w:multiLevelType w:val="hybridMultilevel"/>
    <w:tmpl w:val="A9DC09F6"/>
    <w:lvl w:ilvl="0" w:tplc="2E62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9E2"/>
    <w:multiLevelType w:val="hybridMultilevel"/>
    <w:tmpl w:val="E34EE7DC"/>
    <w:lvl w:ilvl="0" w:tplc="99DAEB8C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54A"/>
    <w:multiLevelType w:val="multilevel"/>
    <w:tmpl w:val="A9DC0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78A7"/>
    <w:multiLevelType w:val="hybridMultilevel"/>
    <w:tmpl w:val="048837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116C4"/>
    <w:multiLevelType w:val="hybridMultilevel"/>
    <w:tmpl w:val="117414E2"/>
    <w:lvl w:ilvl="0" w:tplc="834C651A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3"/>
    <w:rsid w:val="00003C7F"/>
    <w:rsid w:val="00017B35"/>
    <w:rsid w:val="00031D28"/>
    <w:rsid w:val="00055B1F"/>
    <w:rsid w:val="00077601"/>
    <w:rsid w:val="00092259"/>
    <w:rsid w:val="000D16A1"/>
    <w:rsid w:val="00180CA8"/>
    <w:rsid w:val="0018797B"/>
    <w:rsid w:val="001D19D7"/>
    <w:rsid w:val="0025426A"/>
    <w:rsid w:val="00271261"/>
    <w:rsid w:val="0028646A"/>
    <w:rsid w:val="002C637D"/>
    <w:rsid w:val="002D3423"/>
    <w:rsid w:val="003305C1"/>
    <w:rsid w:val="00364456"/>
    <w:rsid w:val="00377909"/>
    <w:rsid w:val="00386EBE"/>
    <w:rsid w:val="003B00B4"/>
    <w:rsid w:val="003C715C"/>
    <w:rsid w:val="00451D96"/>
    <w:rsid w:val="00463B90"/>
    <w:rsid w:val="00465ABB"/>
    <w:rsid w:val="004763C9"/>
    <w:rsid w:val="004A4E87"/>
    <w:rsid w:val="004B4EBC"/>
    <w:rsid w:val="00507A83"/>
    <w:rsid w:val="00564BCE"/>
    <w:rsid w:val="0057466A"/>
    <w:rsid w:val="005B7B00"/>
    <w:rsid w:val="005D1F8F"/>
    <w:rsid w:val="005D7256"/>
    <w:rsid w:val="006071BB"/>
    <w:rsid w:val="006441E1"/>
    <w:rsid w:val="00655D97"/>
    <w:rsid w:val="00661C75"/>
    <w:rsid w:val="0066327E"/>
    <w:rsid w:val="00765715"/>
    <w:rsid w:val="00782144"/>
    <w:rsid w:val="00803769"/>
    <w:rsid w:val="008310DD"/>
    <w:rsid w:val="0085346F"/>
    <w:rsid w:val="00875039"/>
    <w:rsid w:val="008C6FB0"/>
    <w:rsid w:val="008F0382"/>
    <w:rsid w:val="00913880"/>
    <w:rsid w:val="00980D4C"/>
    <w:rsid w:val="009D24A6"/>
    <w:rsid w:val="009D5FCB"/>
    <w:rsid w:val="00A64898"/>
    <w:rsid w:val="00A92DDA"/>
    <w:rsid w:val="00AC173D"/>
    <w:rsid w:val="00AD32D7"/>
    <w:rsid w:val="00AD4B21"/>
    <w:rsid w:val="00AE2055"/>
    <w:rsid w:val="00B0584F"/>
    <w:rsid w:val="00B1454F"/>
    <w:rsid w:val="00B471FA"/>
    <w:rsid w:val="00B62E4A"/>
    <w:rsid w:val="00BE047D"/>
    <w:rsid w:val="00BF620C"/>
    <w:rsid w:val="00C32C04"/>
    <w:rsid w:val="00C7475C"/>
    <w:rsid w:val="00D24F44"/>
    <w:rsid w:val="00D41765"/>
    <w:rsid w:val="00D52DC1"/>
    <w:rsid w:val="00D737A8"/>
    <w:rsid w:val="00D94B7C"/>
    <w:rsid w:val="00DA63F2"/>
    <w:rsid w:val="00DE07CD"/>
    <w:rsid w:val="00E97E48"/>
    <w:rsid w:val="00EA00B7"/>
    <w:rsid w:val="00F06977"/>
    <w:rsid w:val="00F53E6B"/>
    <w:rsid w:val="00F66E22"/>
    <w:rsid w:val="00F71751"/>
    <w:rsid w:val="00FA7DC3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6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55"/>
    <w:rPr>
      <w:rFonts w:ascii="Tahoma" w:hAnsi="Tahoma" w:cs="Tahoma"/>
      <w:color w:val="000000"/>
      <w:sz w:val="16"/>
      <w:szCs w:val="16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AE20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55"/>
    <w:rPr>
      <w:rFonts w:ascii="Times New Roman" w:hAnsi="Times New Roman" w:cs="Times New Roman"/>
      <w:color w:val="000000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E20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55"/>
    <w:rPr>
      <w:rFonts w:ascii="Times New Roman" w:hAnsi="Times New Roman" w:cs="Times New Roman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03769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gingersoftwaremark">
    <w:name w:val="ginger_software_mark"/>
    <w:basedOn w:val="DefaultParagraphFont"/>
    <w:rsid w:val="00803769"/>
  </w:style>
  <w:style w:type="paragraph" w:styleId="ListParagraph">
    <w:name w:val="List Paragraph"/>
    <w:basedOn w:val="Normal"/>
    <w:uiPriority w:val="34"/>
    <w:qFormat/>
    <w:rsid w:val="00D24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6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977"/>
    <w:rPr>
      <w:rFonts w:ascii="Times New Roman" w:hAnsi="Times New Roman" w:cs="Times New Roman"/>
      <w:color w:val="000000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F069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9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977"/>
    <w:rPr>
      <w:rFonts w:ascii="Times New Roman" w:hAnsi="Times New Roman" w:cs="Times New Roman"/>
      <w:color w:val="000000"/>
      <w:sz w:val="20"/>
      <w:szCs w:val="20"/>
      <w:lang w:eastAsia="pt-PT"/>
    </w:rPr>
  </w:style>
  <w:style w:type="character" w:styleId="EndnoteReference">
    <w:name w:val="endnote reference"/>
    <w:basedOn w:val="DefaultParagraphFont"/>
    <w:uiPriority w:val="99"/>
    <w:semiHidden/>
    <w:unhideWhenUsed/>
    <w:rsid w:val="00F06977"/>
    <w:rPr>
      <w:vertAlign w:val="superscript"/>
    </w:rPr>
  </w:style>
  <w:style w:type="paragraph" w:customStyle="1" w:styleId="Default">
    <w:name w:val="Default"/>
    <w:rsid w:val="005B7B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346F"/>
  </w:style>
  <w:style w:type="character" w:styleId="FollowedHyperlink">
    <w:name w:val="FollowedHyperlink"/>
    <w:basedOn w:val="DefaultParagraphFont"/>
    <w:uiPriority w:val="99"/>
    <w:semiHidden/>
    <w:unhideWhenUsed/>
    <w:rsid w:val="00D41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55"/>
    <w:rPr>
      <w:rFonts w:ascii="Tahoma" w:hAnsi="Tahoma" w:cs="Tahoma"/>
      <w:color w:val="000000"/>
      <w:sz w:val="16"/>
      <w:szCs w:val="16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AE20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55"/>
    <w:rPr>
      <w:rFonts w:ascii="Times New Roman" w:hAnsi="Times New Roman" w:cs="Times New Roman"/>
      <w:color w:val="000000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E20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55"/>
    <w:rPr>
      <w:rFonts w:ascii="Times New Roman" w:hAnsi="Times New Roman" w:cs="Times New Roman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03769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gingersoftwaremark">
    <w:name w:val="ginger_software_mark"/>
    <w:basedOn w:val="DefaultParagraphFont"/>
    <w:rsid w:val="00803769"/>
  </w:style>
  <w:style w:type="paragraph" w:styleId="ListParagraph">
    <w:name w:val="List Paragraph"/>
    <w:basedOn w:val="Normal"/>
    <w:uiPriority w:val="34"/>
    <w:qFormat/>
    <w:rsid w:val="00D24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6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977"/>
    <w:rPr>
      <w:rFonts w:ascii="Times New Roman" w:hAnsi="Times New Roman" w:cs="Times New Roman"/>
      <w:color w:val="000000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F069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9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977"/>
    <w:rPr>
      <w:rFonts w:ascii="Times New Roman" w:hAnsi="Times New Roman" w:cs="Times New Roman"/>
      <w:color w:val="000000"/>
      <w:sz w:val="20"/>
      <w:szCs w:val="20"/>
      <w:lang w:eastAsia="pt-PT"/>
    </w:rPr>
  </w:style>
  <w:style w:type="character" w:styleId="EndnoteReference">
    <w:name w:val="endnote reference"/>
    <w:basedOn w:val="DefaultParagraphFont"/>
    <w:uiPriority w:val="99"/>
    <w:semiHidden/>
    <w:unhideWhenUsed/>
    <w:rsid w:val="00F06977"/>
    <w:rPr>
      <w:vertAlign w:val="superscript"/>
    </w:rPr>
  </w:style>
  <w:style w:type="paragraph" w:customStyle="1" w:styleId="Default">
    <w:name w:val="Default"/>
    <w:rsid w:val="005B7B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346F"/>
  </w:style>
  <w:style w:type="character" w:styleId="FollowedHyperlink">
    <w:name w:val="FollowedHyperlink"/>
    <w:basedOn w:val="DefaultParagraphFont"/>
    <w:uiPriority w:val="99"/>
    <w:semiHidden/>
    <w:unhideWhenUsed/>
    <w:rsid w:val="00D41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ulisboa.pt/sites/ulisboa.pt/files/basicpage/docs/mobility_agreement_staff_mobility_for_training.docx" TargetMode="External"/><Relationship Id="rId21" Type="http://schemas.openxmlformats.org/officeDocument/2006/relationships/hyperlink" Target="https://www.ulisboa.pt/sites/ulisboa.pt/files/basicpage/docs/declaration_of_stay_stt.doc" TargetMode="External"/><Relationship Id="rId22" Type="http://schemas.openxmlformats.org/officeDocument/2006/relationships/hyperlink" Target="https://www.ulisboa.pt/sites/ulisboa.pt/files/basicpage/docs/bolsas_erasmus_mais_2017-2018_docentes_staff_1.pdf" TargetMode="External"/><Relationship Id="rId23" Type="http://schemas.openxmlformats.org/officeDocument/2006/relationships/hyperlink" Target="https://www.ulisboa.pt/sites/ulisboa.pt/files/basicpage/docs/modelo_contrato_stt.pdf" TargetMode="External"/><Relationship Id="rId24" Type="http://schemas.openxmlformats.org/officeDocument/2006/relationships/hyperlink" Target="https://www.ulisboa.pt/info/pessoal-tecnico-e-administrativo" TargetMode="External"/><Relationship Id="rId25" Type="http://schemas.openxmlformats.org/officeDocument/2006/relationships/hyperlink" Target="https://www.ulisboa.pt/info/participantes-com-necessidades-especiais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https://www.ulisboa.pt/sites/ulisboa.pt/files/basicpage/docs/ficha_pessoal.doc" TargetMode="External"/><Relationship Id="rId12" Type="http://schemas.openxmlformats.org/officeDocument/2006/relationships/hyperlink" Target="https://www.ulisboa.pt/sites/ulisboa.pt/files/basicpage/docs/bolsas_erasmus_mais_2017-2018_docentes_staff_1.pdf" TargetMode="External"/><Relationship Id="rId13" Type="http://schemas.openxmlformats.org/officeDocument/2006/relationships/hyperlink" Target="https://www.ulisboa.pt/sites/ulisboa.pt/files/basicpage/docs/mobility_agreement_staff_mobility_for_training.docx" TargetMode="External"/><Relationship Id="rId14" Type="http://schemas.openxmlformats.org/officeDocument/2006/relationships/hyperlink" Target="mailto:erasmus@ulisboa.pt" TargetMode="External"/><Relationship Id="rId15" Type="http://schemas.openxmlformats.org/officeDocument/2006/relationships/hyperlink" Target="mailto:erasmus@ulisboa.pt" TargetMode="External"/><Relationship Id="rId16" Type="http://schemas.openxmlformats.org/officeDocument/2006/relationships/hyperlink" Target="mailto:erasmus@ulisboa.pt" TargetMode="External"/><Relationship Id="rId17" Type="http://schemas.openxmlformats.org/officeDocument/2006/relationships/hyperlink" Target="https://www.ulisboa.pt/sites/ulisboa.pt/files/basicpage/docs/declaration_of_stay_stt.doc" TargetMode="External"/><Relationship Id="rId18" Type="http://schemas.openxmlformats.org/officeDocument/2006/relationships/hyperlink" Target="http://www.ulisboa.pt/wp-content/uploads/RegulamentoErasmusDespacho-n.%C2%BA-6154-2016.pdf" TargetMode="External"/><Relationship Id="rId19" Type="http://schemas.openxmlformats.org/officeDocument/2006/relationships/hyperlink" Target="https://www.ulisboa.pt/sites/ulisboa.pt/files/basicpage/docs/ficha_pessoal.do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FB22-42BC-3145-AE4E-D5398A0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6689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Minhota Antunes Caiado</dc:creator>
  <cp:lastModifiedBy>Eduardo Pereira</cp:lastModifiedBy>
  <cp:revision>3</cp:revision>
  <cp:lastPrinted>2018-06-11T14:31:00Z</cp:lastPrinted>
  <dcterms:created xsi:type="dcterms:W3CDTF">2018-06-11T14:31:00Z</dcterms:created>
  <dcterms:modified xsi:type="dcterms:W3CDTF">2018-06-11T14:32:00Z</dcterms:modified>
</cp:coreProperties>
</file>